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7D8F" w14:textId="4699B6AC" w:rsidR="00E74809" w:rsidRPr="00E74809" w:rsidRDefault="00E74809" w:rsidP="00E74809">
      <w:pPr>
        <w:pStyle w:val="Header"/>
        <w:jc w:val="center"/>
        <w:rPr>
          <w:rFonts w:asciiTheme="minorHAnsi" w:hAnsiTheme="minorHAnsi" w:cstheme="minorHAnsi"/>
          <w:b/>
          <w:sz w:val="24"/>
          <w:szCs w:val="24"/>
        </w:rPr>
      </w:pPr>
      <w:r>
        <w:rPr>
          <w:rFonts w:asciiTheme="minorHAnsi" w:hAnsiTheme="minorHAnsi" w:cstheme="minorHAnsi"/>
          <w:b/>
          <w:sz w:val="24"/>
          <w:szCs w:val="24"/>
        </w:rPr>
        <w:t>MEMORANDUM OF UNDERSTANDING</w:t>
      </w:r>
    </w:p>
    <w:p w14:paraId="16062738" w14:textId="40BDD701" w:rsidR="00E74809" w:rsidRPr="00E74809" w:rsidRDefault="00E74809" w:rsidP="00E74809">
      <w:pPr>
        <w:pStyle w:val="Header"/>
        <w:jc w:val="center"/>
        <w:rPr>
          <w:rFonts w:asciiTheme="minorHAnsi" w:hAnsiTheme="minorHAnsi" w:cstheme="minorHAnsi"/>
          <w:b/>
          <w:sz w:val="24"/>
          <w:szCs w:val="24"/>
        </w:rPr>
      </w:pPr>
      <w:r w:rsidRPr="00E74809">
        <w:rPr>
          <w:rFonts w:asciiTheme="minorHAnsi" w:hAnsiTheme="minorHAnsi" w:cstheme="minorHAnsi"/>
          <w:b/>
          <w:w w:val="105"/>
          <w:sz w:val="24"/>
          <w:szCs w:val="24"/>
          <w:lang w:val="en-GB"/>
        </w:rPr>
        <w:t>BETWEEN</w:t>
      </w:r>
    </w:p>
    <w:p w14:paraId="5486CA2E" w14:textId="77777777" w:rsidR="002F61F3" w:rsidRDefault="002F61F3" w:rsidP="00E74809">
      <w:pPr>
        <w:spacing w:after="0" w:line="240" w:lineRule="auto"/>
        <w:jc w:val="center"/>
        <w:rPr>
          <w:rFonts w:cstheme="minorHAnsi"/>
          <w:b/>
          <w:w w:val="105"/>
          <w:sz w:val="24"/>
          <w:szCs w:val="24"/>
          <w:lang w:val="en-GB"/>
        </w:rPr>
      </w:pPr>
    </w:p>
    <w:p w14:paraId="52072EC9" w14:textId="71C154CA" w:rsidR="002F61F3" w:rsidRDefault="002F61F3" w:rsidP="00E74809">
      <w:pPr>
        <w:spacing w:after="0" w:line="240" w:lineRule="auto"/>
        <w:jc w:val="center"/>
        <w:rPr>
          <w:rFonts w:cstheme="minorHAnsi"/>
          <w:b/>
          <w:w w:val="105"/>
          <w:sz w:val="24"/>
          <w:szCs w:val="24"/>
          <w:lang w:val="en-GB"/>
        </w:rPr>
      </w:pPr>
      <w:r>
        <w:rPr>
          <w:rFonts w:cstheme="minorHAnsi"/>
          <w:i/>
          <w:w w:val="105"/>
          <w:lang w:val="en-GB"/>
        </w:rPr>
        <w:t>Recipient</w:t>
      </w:r>
      <w:r w:rsidRPr="00E74809">
        <w:rPr>
          <w:rFonts w:cstheme="minorHAnsi"/>
          <w:i/>
          <w:w w:val="105"/>
          <w:lang w:val="en-GB"/>
        </w:rPr>
        <w:t xml:space="preserve"> </w:t>
      </w:r>
      <w:r>
        <w:rPr>
          <w:rFonts w:cstheme="minorHAnsi"/>
          <w:i/>
          <w:w w:val="105"/>
          <w:lang w:val="en-GB"/>
        </w:rPr>
        <w:t>&amp; Hosting Entity</w:t>
      </w:r>
    </w:p>
    <w:p w14:paraId="7C58F74E" w14:textId="49A18562" w:rsidR="00E74809" w:rsidRDefault="00E74809" w:rsidP="00E74809">
      <w:pPr>
        <w:spacing w:after="0" w:line="240" w:lineRule="auto"/>
        <w:jc w:val="center"/>
        <w:rPr>
          <w:rFonts w:cstheme="minorHAnsi"/>
          <w:i/>
          <w:w w:val="105"/>
          <w:lang w:val="en-GB"/>
        </w:rPr>
      </w:pPr>
      <w:r>
        <w:rPr>
          <w:rFonts w:cstheme="minorHAnsi"/>
          <w:b/>
          <w:w w:val="105"/>
          <w:sz w:val="24"/>
          <w:szCs w:val="24"/>
          <w:lang w:val="en-GB"/>
        </w:rPr>
        <w:t xml:space="preserve">Mayo Clinic </w:t>
      </w:r>
    </w:p>
    <w:p w14:paraId="261C4D91" w14:textId="584A65B5" w:rsidR="00F33C1B" w:rsidRPr="00F33C1B" w:rsidRDefault="00F33C1B" w:rsidP="00E74809">
      <w:pPr>
        <w:spacing w:after="0" w:line="240" w:lineRule="auto"/>
        <w:jc w:val="center"/>
        <w:rPr>
          <w:rFonts w:cstheme="minorHAnsi"/>
          <w:w w:val="105"/>
          <w:lang w:val="en-GB"/>
        </w:rPr>
      </w:pPr>
      <w:r w:rsidRPr="00F33C1B">
        <w:rPr>
          <w:rFonts w:cstheme="minorHAnsi"/>
          <w:w w:val="105"/>
          <w:lang w:val="en-GB"/>
        </w:rPr>
        <w:t>200 First St. SW</w:t>
      </w:r>
    </w:p>
    <w:p w14:paraId="26D86FEC" w14:textId="0583BBA7" w:rsidR="00F33C1B" w:rsidRDefault="00F33C1B" w:rsidP="00E74809">
      <w:pPr>
        <w:spacing w:after="0" w:line="240" w:lineRule="auto"/>
        <w:jc w:val="center"/>
        <w:rPr>
          <w:rFonts w:cstheme="minorHAnsi"/>
          <w:w w:val="105"/>
          <w:lang w:val="en-GB"/>
        </w:rPr>
      </w:pPr>
      <w:r w:rsidRPr="00F33C1B">
        <w:rPr>
          <w:rFonts w:cstheme="minorHAnsi"/>
          <w:w w:val="105"/>
          <w:lang w:val="en-GB"/>
        </w:rPr>
        <w:t>Rochester, MN  5590</w:t>
      </w:r>
      <w:r w:rsidR="00CB2C4C">
        <w:rPr>
          <w:rFonts w:cstheme="minorHAnsi"/>
          <w:w w:val="105"/>
          <w:lang w:val="en-GB"/>
        </w:rPr>
        <w:t>5</w:t>
      </w:r>
    </w:p>
    <w:p w14:paraId="08450FEC" w14:textId="77777777" w:rsidR="002F61F3" w:rsidRPr="00F33C1B" w:rsidRDefault="002F61F3" w:rsidP="00E74809">
      <w:pPr>
        <w:spacing w:after="0" w:line="240" w:lineRule="auto"/>
        <w:jc w:val="center"/>
        <w:rPr>
          <w:rFonts w:cstheme="minorHAnsi"/>
          <w:b/>
          <w:w w:val="105"/>
          <w:sz w:val="24"/>
          <w:szCs w:val="24"/>
          <w:lang w:val="en-GB"/>
        </w:rPr>
      </w:pPr>
    </w:p>
    <w:p w14:paraId="320EB68E" w14:textId="7929433A" w:rsidR="00E74809" w:rsidRDefault="00E74809" w:rsidP="00E74809">
      <w:pPr>
        <w:spacing w:after="0" w:line="240" w:lineRule="auto"/>
        <w:jc w:val="center"/>
        <w:rPr>
          <w:rFonts w:cstheme="minorHAnsi"/>
          <w:b/>
          <w:w w:val="105"/>
          <w:sz w:val="24"/>
          <w:szCs w:val="24"/>
          <w:lang w:val="en-GB"/>
        </w:rPr>
      </w:pPr>
      <w:r>
        <w:rPr>
          <w:rFonts w:cstheme="minorHAnsi"/>
          <w:b/>
          <w:w w:val="105"/>
          <w:sz w:val="24"/>
          <w:szCs w:val="24"/>
          <w:lang w:val="en-GB"/>
        </w:rPr>
        <w:t>AND</w:t>
      </w:r>
    </w:p>
    <w:p w14:paraId="5C808B41" w14:textId="77777777" w:rsidR="002F61F3" w:rsidRDefault="002F61F3" w:rsidP="00E74809">
      <w:pPr>
        <w:spacing w:after="0" w:line="240" w:lineRule="auto"/>
        <w:jc w:val="center"/>
        <w:rPr>
          <w:rFonts w:cstheme="minorHAnsi"/>
          <w:b/>
          <w:w w:val="105"/>
          <w:sz w:val="24"/>
          <w:szCs w:val="24"/>
          <w:lang w:val="en-GB"/>
        </w:rPr>
      </w:pPr>
    </w:p>
    <w:p w14:paraId="4DFA0F21" w14:textId="77777777" w:rsidR="002F61F3" w:rsidRDefault="002F61F3" w:rsidP="00E74809">
      <w:pPr>
        <w:spacing w:after="0" w:line="240" w:lineRule="auto"/>
        <w:jc w:val="center"/>
        <w:rPr>
          <w:rFonts w:cstheme="minorHAnsi"/>
          <w:b/>
          <w:w w:val="105"/>
          <w:sz w:val="24"/>
          <w:szCs w:val="24"/>
          <w:lang w:val="en-GB"/>
        </w:rPr>
      </w:pPr>
      <w:r w:rsidRPr="0067542A">
        <w:rPr>
          <w:rFonts w:cstheme="minorHAnsi"/>
          <w:i/>
          <w:w w:val="105"/>
          <w:lang w:val="en-GB"/>
        </w:rPr>
        <w:t>Submitting Entity</w:t>
      </w:r>
      <w:r w:rsidRPr="0067542A">
        <w:rPr>
          <w:rFonts w:cstheme="minorHAnsi"/>
          <w:b/>
          <w:w w:val="105"/>
          <w:sz w:val="24"/>
          <w:szCs w:val="24"/>
          <w:lang w:val="en-GB"/>
        </w:rPr>
        <w:t xml:space="preserve"> </w:t>
      </w:r>
    </w:p>
    <w:p w14:paraId="362961FC" w14:textId="2B34BE9F" w:rsidR="00E74809" w:rsidRPr="0067542A" w:rsidRDefault="00C21D23" w:rsidP="00E74809">
      <w:pPr>
        <w:spacing w:after="0" w:line="240" w:lineRule="auto"/>
        <w:jc w:val="center"/>
        <w:rPr>
          <w:rFonts w:cstheme="minorHAnsi"/>
          <w:b/>
          <w:w w:val="105"/>
          <w:sz w:val="24"/>
          <w:szCs w:val="24"/>
          <w:lang w:val="en-GB"/>
        </w:rPr>
      </w:pPr>
      <w:r>
        <w:rPr>
          <w:rFonts w:cstheme="minorHAnsi"/>
          <w:b/>
          <w:w w:val="105"/>
          <w:sz w:val="24"/>
          <w:szCs w:val="24"/>
          <w:lang w:val="en-GB"/>
        </w:rPr>
        <w:t>Entity</w:t>
      </w:r>
      <w:r w:rsidR="008B37D5" w:rsidRPr="0067542A">
        <w:rPr>
          <w:rFonts w:cstheme="minorHAnsi"/>
          <w:b/>
          <w:w w:val="105"/>
          <w:sz w:val="24"/>
          <w:szCs w:val="24"/>
          <w:lang w:val="en-GB"/>
        </w:rPr>
        <w:t xml:space="preserve"> Name</w:t>
      </w:r>
    </w:p>
    <w:p w14:paraId="03DD51B4" w14:textId="39BFB838" w:rsidR="008B37D5" w:rsidRPr="0067542A" w:rsidRDefault="008B37D5" w:rsidP="008B37D5">
      <w:pPr>
        <w:spacing w:after="0" w:line="240" w:lineRule="auto"/>
        <w:jc w:val="center"/>
        <w:rPr>
          <w:rFonts w:cstheme="minorHAnsi"/>
          <w:w w:val="105"/>
          <w:lang w:val="en-GB"/>
        </w:rPr>
      </w:pPr>
      <w:r w:rsidRPr="0067542A">
        <w:rPr>
          <w:rFonts w:cstheme="minorHAnsi"/>
          <w:w w:val="105"/>
          <w:lang w:val="en-GB"/>
        </w:rPr>
        <w:t>Street Address</w:t>
      </w:r>
    </w:p>
    <w:p w14:paraId="5C940662" w14:textId="48D1257A" w:rsidR="008B37D5" w:rsidRPr="0067542A" w:rsidRDefault="008B37D5" w:rsidP="008B37D5">
      <w:pPr>
        <w:spacing w:after="0" w:line="240" w:lineRule="auto"/>
        <w:jc w:val="center"/>
        <w:rPr>
          <w:rFonts w:cstheme="minorHAnsi"/>
          <w:b/>
          <w:w w:val="105"/>
          <w:sz w:val="24"/>
          <w:szCs w:val="24"/>
          <w:lang w:val="en-GB"/>
        </w:rPr>
      </w:pPr>
      <w:r w:rsidRPr="0067542A">
        <w:rPr>
          <w:rFonts w:cstheme="minorHAnsi"/>
          <w:w w:val="105"/>
          <w:lang w:val="en-GB"/>
        </w:rPr>
        <w:t>City, State Zip code</w:t>
      </w:r>
    </w:p>
    <w:p w14:paraId="312B92CA" w14:textId="5B5BDEB1" w:rsidR="00E74809" w:rsidRDefault="00E74809" w:rsidP="00E74809">
      <w:pPr>
        <w:spacing w:after="0" w:line="240" w:lineRule="auto"/>
        <w:jc w:val="center"/>
        <w:rPr>
          <w:rFonts w:cstheme="minorHAnsi"/>
          <w:b/>
          <w:w w:val="105"/>
          <w:sz w:val="24"/>
          <w:szCs w:val="24"/>
          <w:lang w:val="en-GB"/>
        </w:rPr>
      </w:pPr>
    </w:p>
    <w:p w14:paraId="074A8AF3" w14:textId="77777777" w:rsidR="00E74809" w:rsidRPr="00E74809" w:rsidRDefault="00E74809" w:rsidP="00E74809">
      <w:pPr>
        <w:jc w:val="center"/>
        <w:rPr>
          <w:rFonts w:cstheme="minorHAnsi"/>
          <w:b/>
          <w:w w:val="105"/>
          <w:sz w:val="24"/>
          <w:szCs w:val="24"/>
          <w:lang w:val="en-GB"/>
        </w:rPr>
      </w:pPr>
    </w:p>
    <w:p w14:paraId="26378AAD" w14:textId="754101F7" w:rsidR="00D6113C" w:rsidRPr="00776A32" w:rsidRDefault="00776A32" w:rsidP="00776A32">
      <w:pPr>
        <w:pStyle w:val="ListParagraph"/>
        <w:numPr>
          <w:ilvl w:val="0"/>
          <w:numId w:val="19"/>
        </w:numPr>
        <w:rPr>
          <w:b/>
          <w:sz w:val="20"/>
          <w:szCs w:val="20"/>
          <w:lang w:val="en-GB"/>
        </w:rPr>
      </w:pPr>
      <w:r>
        <w:rPr>
          <w:b/>
          <w:sz w:val="20"/>
          <w:szCs w:val="20"/>
          <w:lang w:val="en-GB"/>
        </w:rPr>
        <w:t>PURPOSE</w:t>
      </w:r>
    </w:p>
    <w:p w14:paraId="542DA301" w14:textId="5186C31D" w:rsidR="00776A32" w:rsidRDefault="00776A32" w:rsidP="00D6113C">
      <w:pPr>
        <w:rPr>
          <w:sz w:val="20"/>
          <w:szCs w:val="20"/>
          <w:lang w:val="en-GB"/>
        </w:rPr>
      </w:pPr>
      <w:r w:rsidRPr="00776A32">
        <w:rPr>
          <w:sz w:val="20"/>
          <w:szCs w:val="20"/>
          <w:lang w:val="en-GB"/>
        </w:rPr>
        <w:t>The purpose of this Memorandum of Understanding</w:t>
      </w:r>
      <w:r>
        <w:rPr>
          <w:sz w:val="20"/>
          <w:szCs w:val="20"/>
          <w:lang w:val="en-GB"/>
        </w:rPr>
        <w:t xml:space="preserve"> </w:t>
      </w:r>
      <w:r w:rsidRPr="00776A32">
        <w:rPr>
          <w:sz w:val="20"/>
          <w:szCs w:val="20"/>
          <w:lang w:val="en-GB"/>
        </w:rPr>
        <w:t>is to define the wo</w:t>
      </w:r>
      <w:r w:rsidR="00003CB0">
        <w:rPr>
          <w:sz w:val="20"/>
          <w:szCs w:val="20"/>
          <w:lang w:val="en-GB"/>
        </w:rPr>
        <w:t>rking relationship between the submittin</w:t>
      </w:r>
      <w:r w:rsidR="00CA6E52">
        <w:rPr>
          <w:sz w:val="20"/>
          <w:szCs w:val="20"/>
          <w:lang w:val="en-GB"/>
        </w:rPr>
        <w:t xml:space="preserve">g, receiving, and </w:t>
      </w:r>
      <w:r w:rsidR="00003CB0">
        <w:rPr>
          <w:sz w:val="20"/>
          <w:szCs w:val="20"/>
          <w:lang w:val="en-GB"/>
        </w:rPr>
        <w:t>hosting entities</w:t>
      </w:r>
      <w:r w:rsidRPr="00776A32">
        <w:rPr>
          <w:sz w:val="20"/>
          <w:szCs w:val="20"/>
          <w:lang w:val="en-GB"/>
        </w:rPr>
        <w:t>.  This agreement clarif</w:t>
      </w:r>
      <w:r w:rsidR="00CB2C4C">
        <w:rPr>
          <w:sz w:val="20"/>
          <w:szCs w:val="20"/>
          <w:lang w:val="en-GB"/>
        </w:rPr>
        <w:t>ies</w:t>
      </w:r>
      <w:r w:rsidRPr="00776A32">
        <w:rPr>
          <w:sz w:val="20"/>
          <w:szCs w:val="20"/>
          <w:lang w:val="en-GB"/>
        </w:rPr>
        <w:t xml:space="preserve"> the collaborative roles and responsibilities of </w:t>
      </w:r>
      <w:r w:rsidR="00003CB0">
        <w:rPr>
          <w:sz w:val="20"/>
          <w:szCs w:val="20"/>
          <w:lang w:val="en-GB"/>
        </w:rPr>
        <w:t>all</w:t>
      </w:r>
      <w:r w:rsidR="00F4608F">
        <w:rPr>
          <w:sz w:val="20"/>
          <w:szCs w:val="20"/>
          <w:lang w:val="en-GB"/>
        </w:rPr>
        <w:t xml:space="preserve"> </w:t>
      </w:r>
      <w:r w:rsidR="00003CB0">
        <w:rPr>
          <w:sz w:val="20"/>
          <w:szCs w:val="20"/>
          <w:lang w:val="en-GB"/>
        </w:rPr>
        <w:t>entities</w:t>
      </w:r>
      <w:r w:rsidRPr="00776A32">
        <w:rPr>
          <w:sz w:val="20"/>
          <w:szCs w:val="20"/>
          <w:lang w:val="en-GB"/>
        </w:rPr>
        <w:t xml:space="preserve"> with respect to data </w:t>
      </w:r>
      <w:r w:rsidR="00254876">
        <w:rPr>
          <w:sz w:val="20"/>
          <w:szCs w:val="20"/>
          <w:lang w:val="en-GB"/>
        </w:rPr>
        <w:t xml:space="preserve">transfer, </w:t>
      </w:r>
      <w:r w:rsidRPr="00776A32">
        <w:rPr>
          <w:sz w:val="20"/>
          <w:szCs w:val="20"/>
          <w:lang w:val="en-GB"/>
        </w:rPr>
        <w:t>ownership,</w:t>
      </w:r>
      <w:r w:rsidR="00254876">
        <w:rPr>
          <w:sz w:val="20"/>
          <w:szCs w:val="20"/>
          <w:lang w:val="en-GB"/>
        </w:rPr>
        <w:t xml:space="preserve"> security, </w:t>
      </w:r>
      <w:r w:rsidRPr="00776A32">
        <w:rPr>
          <w:sz w:val="20"/>
          <w:szCs w:val="20"/>
          <w:lang w:val="en-GB"/>
        </w:rPr>
        <w:t>us</w:t>
      </w:r>
      <w:r w:rsidR="00254876">
        <w:rPr>
          <w:sz w:val="20"/>
          <w:szCs w:val="20"/>
          <w:lang w:val="en-GB"/>
        </w:rPr>
        <w:t>e,</w:t>
      </w:r>
      <w:r w:rsidRPr="00776A32">
        <w:rPr>
          <w:sz w:val="20"/>
          <w:szCs w:val="20"/>
          <w:lang w:val="en-GB"/>
        </w:rPr>
        <w:t xml:space="preserve"> and storage.</w:t>
      </w:r>
    </w:p>
    <w:p w14:paraId="4B83511B" w14:textId="77777777" w:rsidR="00776A32" w:rsidRDefault="00776A32" w:rsidP="00D6113C">
      <w:pPr>
        <w:rPr>
          <w:sz w:val="20"/>
          <w:szCs w:val="20"/>
          <w:lang w:val="en-GB"/>
        </w:rPr>
      </w:pPr>
    </w:p>
    <w:p w14:paraId="560C0075" w14:textId="7DFAD184" w:rsidR="00776A32" w:rsidRPr="00776A32" w:rsidRDefault="00776A32" w:rsidP="00776A32">
      <w:pPr>
        <w:pStyle w:val="ListParagraph"/>
        <w:numPr>
          <w:ilvl w:val="0"/>
          <w:numId w:val="19"/>
        </w:numPr>
        <w:rPr>
          <w:b/>
          <w:sz w:val="20"/>
          <w:szCs w:val="20"/>
          <w:lang w:val="en-GB"/>
        </w:rPr>
      </w:pPr>
      <w:r>
        <w:rPr>
          <w:b/>
          <w:sz w:val="20"/>
          <w:szCs w:val="20"/>
          <w:lang w:val="en-GB"/>
        </w:rPr>
        <w:t>DEFINITIONS</w:t>
      </w:r>
    </w:p>
    <w:p w14:paraId="7A1D48A4" w14:textId="11514158" w:rsidR="00003CB0" w:rsidRPr="00003CB0" w:rsidRDefault="00D96E36" w:rsidP="00003CB0">
      <w:pPr>
        <w:rPr>
          <w:b/>
          <w:sz w:val="20"/>
          <w:szCs w:val="20"/>
          <w:lang w:val="en-GB"/>
        </w:rPr>
      </w:pPr>
      <w:r w:rsidRPr="00003CB0">
        <w:rPr>
          <w:b/>
          <w:sz w:val="20"/>
          <w:szCs w:val="20"/>
          <w:lang w:val="en-GB"/>
        </w:rPr>
        <w:t>A</w:t>
      </w:r>
      <w:r w:rsidR="00003CB0" w:rsidRPr="00003CB0">
        <w:rPr>
          <w:b/>
          <w:sz w:val="20"/>
          <w:szCs w:val="20"/>
          <w:lang w:val="en-GB"/>
        </w:rPr>
        <w:t>ccess approver</w:t>
      </w:r>
      <w:r w:rsidR="00003CB0" w:rsidRPr="00003CB0">
        <w:rPr>
          <w:sz w:val="20"/>
          <w:szCs w:val="20"/>
          <w:lang w:val="en-GB"/>
        </w:rPr>
        <w:t xml:space="preserve"> </w:t>
      </w:r>
      <w:r w:rsidR="00003CB0">
        <w:rPr>
          <w:sz w:val="20"/>
          <w:szCs w:val="20"/>
          <w:lang w:val="en-GB"/>
        </w:rPr>
        <w:t>– the person</w:t>
      </w:r>
      <w:r w:rsidR="00456AB6">
        <w:rPr>
          <w:sz w:val="20"/>
          <w:szCs w:val="20"/>
          <w:lang w:val="en-GB"/>
        </w:rPr>
        <w:t xml:space="preserve"> identified &amp;</w:t>
      </w:r>
      <w:r w:rsidR="00003CB0">
        <w:rPr>
          <w:sz w:val="20"/>
          <w:szCs w:val="20"/>
          <w:lang w:val="en-GB"/>
        </w:rPr>
        <w:t xml:space="preserve"> responsible for approving requests to </w:t>
      </w:r>
      <w:r w:rsidR="00CB2C4C">
        <w:rPr>
          <w:sz w:val="20"/>
          <w:szCs w:val="20"/>
          <w:lang w:val="en-GB"/>
        </w:rPr>
        <w:t>access</w:t>
      </w:r>
      <w:r w:rsidR="00003CB0">
        <w:rPr>
          <w:sz w:val="20"/>
          <w:szCs w:val="20"/>
          <w:lang w:val="en-GB"/>
        </w:rPr>
        <w:t xml:space="preserve"> the </w:t>
      </w:r>
      <w:r w:rsidR="00CB2C4C">
        <w:rPr>
          <w:sz w:val="20"/>
          <w:szCs w:val="20"/>
          <w:lang w:val="en-GB"/>
        </w:rPr>
        <w:t xml:space="preserve">data of one or more </w:t>
      </w:r>
      <w:r w:rsidR="00003CB0">
        <w:rPr>
          <w:sz w:val="20"/>
          <w:szCs w:val="20"/>
          <w:lang w:val="en-GB"/>
        </w:rPr>
        <w:t>submitting entit</w:t>
      </w:r>
      <w:r w:rsidR="00CB2C4C">
        <w:rPr>
          <w:sz w:val="20"/>
          <w:szCs w:val="20"/>
          <w:lang w:val="en-GB"/>
        </w:rPr>
        <w:t>ies</w:t>
      </w:r>
      <w:r w:rsidR="00003CB0">
        <w:rPr>
          <w:sz w:val="20"/>
          <w:szCs w:val="20"/>
          <w:lang w:val="en-GB"/>
        </w:rPr>
        <w:t>.</w:t>
      </w:r>
    </w:p>
    <w:p w14:paraId="78CAAA71" w14:textId="0DE661B5" w:rsidR="00D96E36" w:rsidRDefault="00003CB0" w:rsidP="00D96E36">
      <w:pPr>
        <w:rPr>
          <w:sz w:val="20"/>
          <w:szCs w:val="20"/>
          <w:lang w:val="en-GB"/>
        </w:rPr>
      </w:pPr>
      <w:r>
        <w:rPr>
          <w:b/>
          <w:sz w:val="20"/>
          <w:szCs w:val="20"/>
          <w:lang w:val="en-GB"/>
        </w:rPr>
        <w:t>A</w:t>
      </w:r>
      <w:r w:rsidR="00D96E36">
        <w:rPr>
          <w:b/>
          <w:sz w:val="20"/>
          <w:szCs w:val="20"/>
          <w:lang w:val="en-GB"/>
        </w:rPr>
        <w:t>nonymized data</w:t>
      </w:r>
      <w:r w:rsidR="00D96E36">
        <w:rPr>
          <w:sz w:val="20"/>
          <w:szCs w:val="20"/>
          <w:lang w:val="en-GB"/>
        </w:rPr>
        <w:t xml:space="preserve"> – </w:t>
      </w:r>
      <w:r w:rsidR="0001120E">
        <w:rPr>
          <w:sz w:val="20"/>
          <w:szCs w:val="20"/>
          <w:lang w:val="en-GB"/>
        </w:rPr>
        <w:t xml:space="preserve">irreversibly identifiable </w:t>
      </w:r>
      <w:r w:rsidR="00D96E36">
        <w:rPr>
          <w:sz w:val="20"/>
          <w:szCs w:val="20"/>
          <w:lang w:val="en-GB"/>
        </w:rPr>
        <w:t>data</w:t>
      </w:r>
      <w:r w:rsidR="0001120E">
        <w:rPr>
          <w:sz w:val="20"/>
          <w:szCs w:val="20"/>
          <w:lang w:val="en-GB"/>
        </w:rPr>
        <w:t xml:space="preserve">, edited by the </w:t>
      </w:r>
      <w:r w:rsidR="00CB2C4C">
        <w:rPr>
          <w:sz w:val="20"/>
          <w:szCs w:val="20"/>
          <w:lang w:val="en-GB"/>
        </w:rPr>
        <w:t xml:space="preserve">submitting </w:t>
      </w:r>
      <w:r w:rsidR="0001120E">
        <w:rPr>
          <w:sz w:val="20"/>
          <w:szCs w:val="20"/>
          <w:lang w:val="en-GB"/>
        </w:rPr>
        <w:t>entity, which has had all personally identifiable information removed for privacy protection</w:t>
      </w:r>
      <w:r w:rsidR="00BD75B4">
        <w:rPr>
          <w:sz w:val="20"/>
          <w:szCs w:val="20"/>
          <w:lang w:val="en-GB"/>
        </w:rPr>
        <w:t xml:space="preserve"> and is not identifiable by the hosting entity or users from different locations.</w:t>
      </w:r>
    </w:p>
    <w:p w14:paraId="3D83098B" w14:textId="36A6B211" w:rsidR="00E74809" w:rsidRDefault="00D96E36" w:rsidP="00776A32">
      <w:pPr>
        <w:rPr>
          <w:b/>
          <w:sz w:val="20"/>
          <w:szCs w:val="20"/>
          <w:lang w:val="en-GB"/>
        </w:rPr>
      </w:pPr>
      <w:r>
        <w:rPr>
          <w:b/>
          <w:sz w:val="20"/>
          <w:szCs w:val="20"/>
          <w:lang w:val="en-GB"/>
        </w:rPr>
        <w:t>C</w:t>
      </w:r>
      <w:r w:rsidR="00776A32" w:rsidRPr="00D46B64">
        <w:rPr>
          <w:b/>
          <w:sz w:val="20"/>
          <w:szCs w:val="20"/>
          <w:lang w:val="en-GB"/>
        </w:rPr>
        <w:t>LIR (Collaborative Laboratory Integrated Reports)</w:t>
      </w:r>
      <w:r w:rsidR="00776A32">
        <w:rPr>
          <w:sz w:val="20"/>
          <w:szCs w:val="20"/>
          <w:lang w:val="en-GB"/>
        </w:rPr>
        <w:t xml:space="preserve"> –</w:t>
      </w:r>
      <w:r w:rsidR="00650221">
        <w:rPr>
          <w:sz w:val="20"/>
          <w:szCs w:val="20"/>
          <w:lang w:val="en-GB"/>
        </w:rPr>
        <w:t xml:space="preserve"> the </w:t>
      </w:r>
      <w:r w:rsidR="009401EA">
        <w:rPr>
          <w:sz w:val="20"/>
          <w:szCs w:val="20"/>
          <w:lang w:val="en-GB"/>
        </w:rPr>
        <w:t xml:space="preserve">copyrighted </w:t>
      </w:r>
      <w:r w:rsidR="00776A32">
        <w:rPr>
          <w:sz w:val="20"/>
          <w:szCs w:val="20"/>
          <w:lang w:val="en-GB"/>
        </w:rPr>
        <w:t xml:space="preserve">software </w:t>
      </w:r>
      <w:r w:rsidR="00650221">
        <w:rPr>
          <w:sz w:val="20"/>
          <w:szCs w:val="20"/>
          <w:lang w:val="en-GB"/>
        </w:rPr>
        <w:t xml:space="preserve">supported by the </w:t>
      </w:r>
      <w:r w:rsidR="0001120E">
        <w:rPr>
          <w:sz w:val="20"/>
          <w:szCs w:val="20"/>
          <w:lang w:val="en-GB"/>
        </w:rPr>
        <w:t>r</w:t>
      </w:r>
      <w:r w:rsidR="00650221">
        <w:rPr>
          <w:sz w:val="20"/>
          <w:szCs w:val="20"/>
          <w:lang w:val="en-GB"/>
        </w:rPr>
        <w:t xml:space="preserve">eceiving </w:t>
      </w:r>
      <w:r w:rsidR="0001120E">
        <w:rPr>
          <w:sz w:val="20"/>
          <w:szCs w:val="20"/>
          <w:lang w:val="en-GB"/>
        </w:rPr>
        <w:t>e</w:t>
      </w:r>
      <w:r w:rsidR="00650221">
        <w:rPr>
          <w:sz w:val="20"/>
          <w:szCs w:val="20"/>
          <w:lang w:val="en-GB"/>
        </w:rPr>
        <w:t xml:space="preserve">ntity and hosted by the </w:t>
      </w:r>
      <w:r w:rsidR="0001120E">
        <w:rPr>
          <w:sz w:val="20"/>
          <w:szCs w:val="20"/>
          <w:lang w:val="en-GB"/>
        </w:rPr>
        <w:t>h</w:t>
      </w:r>
      <w:r w:rsidR="00650221">
        <w:rPr>
          <w:sz w:val="20"/>
          <w:szCs w:val="20"/>
          <w:lang w:val="en-GB"/>
        </w:rPr>
        <w:t xml:space="preserve">osting </w:t>
      </w:r>
      <w:r w:rsidR="0001120E">
        <w:rPr>
          <w:sz w:val="20"/>
          <w:szCs w:val="20"/>
          <w:lang w:val="en-GB"/>
        </w:rPr>
        <w:t>e</w:t>
      </w:r>
      <w:r w:rsidR="00650221">
        <w:rPr>
          <w:sz w:val="20"/>
          <w:szCs w:val="20"/>
          <w:lang w:val="en-GB"/>
        </w:rPr>
        <w:t>ntity</w:t>
      </w:r>
      <w:r w:rsidR="00614184">
        <w:rPr>
          <w:sz w:val="20"/>
          <w:szCs w:val="20"/>
          <w:lang w:val="en-GB"/>
        </w:rPr>
        <w:t>.</w:t>
      </w:r>
    </w:p>
    <w:p w14:paraId="78E2CA92" w14:textId="7E28A6CE" w:rsidR="00650221" w:rsidRDefault="00D96E36" w:rsidP="00650221">
      <w:pPr>
        <w:rPr>
          <w:sz w:val="20"/>
          <w:szCs w:val="20"/>
          <w:lang w:val="en-GB"/>
        </w:rPr>
      </w:pPr>
      <w:r>
        <w:rPr>
          <w:b/>
          <w:sz w:val="20"/>
          <w:szCs w:val="20"/>
          <w:lang w:val="en-GB"/>
        </w:rPr>
        <w:t>Data s</w:t>
      </w:r>
      <w:r w:rsidR="00650221">
        <w:rPr>
          <w:b/>
          <w:sz w:val="20"/>
          <w:szCs w:val="20"/>
          <w:lang w:val="en-GB"/>
        </w:rPr>
        <w:t>ubmitter</w:t>
      </w:r>
      <w:r w:rsidR="00650221">
        <w:rPr>
          <w:sz w:val="20"/>
          <w:szCs w:val="20"/>
          <w:lang w:val="en-GB"/>
        </w:rPr>
        <w:t xml:space="preserve"> – the person responsible for supplying source data from the submitting entity systems of record.</w:t>
      </w:r>
    </w:p>
    <w:p w14:paraId="6FD1D22F" w14:textId="77777777" w:rsidR="00003CB0" w:rsidRDefault="00003CB0" w:rsidP="00003CB0">
      <w:pPr>
        <w:rPr>
          <w:sz w:val="20"/>
          <w:szCs w:val="20"/>
          <w:lang w:val="en-GB"/>
        </w:rPr>
      </w:pPr>
      <w:r>
        <w:rPr>
          <w:b/>
          <w:sz w:val="20"/>
          <w:szCs w:val="20"/>
          <w:lang w:val="en-GB"/>
        </w:rPr>
        <w:t>Hosting entity</w:t>
      </w:r>
      <w:r>
        <w:rPr>
          <w:sz w:val="20"/>
          <w:szCs w:val="20"/>
          <w:lang w:val="en-GB"/>
        </w:rPr>
        <w:t xml:space="preserve"> – the organization hosting the CLIR application &amp; database, currently Mayo Clinic.</w:t>
      </w:r>
    </w:p>
    <w:p w14:paraId="495F94C8" w14:textId="339082F9" w:rsidR="00003CB0" w:rsidRDefault="00003CB0" w:rsidP="00003CB0">
      <w:pPr>
        <w:rPr>
          <w:sz w:val="20"/>
          <w:szCs w:val="20"/>
          <w:lang w:val="en-GB"/>
        </w:rPr>
      </w:pPr>
      <w:r>
        <w:rPr>
          <w:b/>
          <w:sz w:val="20"/>
          <w:szCs w:val="20"/>
          <w:lang w:val="en-GB"/>
        </w:rPr>
        <w:t>Receiving entity</w:t>
      </w:r>
      <w:r>
        <w:rPr>
          <w:sz w:val="20"/>
          <w:szCs w:val="20"/>
          <w:lang w:val="en-GB"/>
        </w:rPr>
        <w:t xml:space="preserve"> – the organization receiving data and supporting the CLIR application &amp; database; Mayo Clinic.</w:t>
      </w:r>
    </w:p>
    <w:p w14:paraId="09639FA8" w14:textId="0867E5E7" w:rsidR="002F3B08" w:rsidRDefault="002F3B08" w:rsidP="00650221">
      <w:pPr>
        <w:rPr>
          <w:b/>
          <w:sz w:val="20"/>
          <w:szCs w:val="20"/>
          <w:lang w:val="en-GB"/>
        </w:rPr>
      </w:pPr>
      <w:r>
        <w:rPr>
          <w:b/>
          <w:sz w:val="20"/>
          <w:szCs w:val="20"/>
          <w:lang w:val="en-GB"/>
        </w:rPr>
        <w:t>Submitted entity data –</w:t>
      </w:r>
      <w:r w:rsidR="009661D4">
        <w:rPr>
          <w:b/>
          <w:sz w:val="20"/>
          <w:szCs w:val="20"/>
          <w:lang w:val="en-GB"/>
        </w:rPr>
        <w:t xml:space="preserve"> the </w:t>
      </w:r>
      <w:r>
        <w:rPr>
          <w:b/>
          <w:sz w:val="20"/>
          <w:szCs w:val="20"/>
          <w:lang w:val="en-GB"/>
        </w:rPr>
        <w:t>data submitted by the submitting entity to the receiving entity.</w:t>
      </w:r>
    </w:p>
    <w:p w14:paraId="39EE9C09" w14:textId="1C502738" w:rsidR="00650221" w:rsidRDefault="00D96E36" w:rsidP="00650221">
      <w:pPr>
        <w:rPr>
          <w:sz w:val="20"/>
          <w:szCs w:val="20"/>
          <w:lang w:val="en-GB"/>
        </w:rPr>
      </w:pPr>
      <w:r>
        <w:rPr>
          <w:b/>
          <w:sz w:val="20"/>
          <w:szCs w:val="20"/>
          <w:lang w:val="en-GB"/>
        </w:rPr>
        <w:t>Submitting e</w:t>
      </w:r>
      <w:r w:rsidR="00650221">
        <w:rPr>
          <w:b/>
          <w:sz w:val="20"/>
          <w:szCs w:val="20"/>
          <w:lang w:val="en-GB"/>
        </w:rPr>
        <w:t>ntity</w:t>
      </w:r>
      <w:r w:rsidR="00650221">
        <w:rPr>
          <w:sz w:val="20"/>
          <w:szCs w:val="20"/>
          <w:lang w:val="en-GB"/>
        </w:rPr>
        <w:t xml:space="preserve"> – the organization that owns the data supplied to CLIR.</w:t>
      </w:r>
    </w:p>
    <w:p w14:paraId="215637A3" w14:textId="77777777" w:rsidR="00776A32" w:rsidRDefault="00776A32">
      <w:pPr>
        <w:rPr>
          <w:b/>
          <w:sz w:val="20"/>
          <w:szCs w:val="20"/>
          <w:lang w:val="en-GB"/>
        </w:rPr>
      </w:pPr>
      <w:r>
        <w:rPr>
          <w:b/>
          <w:sz w:val="20"/>
          <w:szCs w:val="20"/>
          <w:lang w:val="en-GB"/>
        </w:rPr>
        <w:br w:type="page"/>
      </w:r>
    </w:p>
    <w:p w14:paraId="23E90617" w14:textId="6B597F0B" w:rsidR="00501803" w:rsidRDefault="00614184" w:rsidP="00614184">
      <w:pPr>
        <w:pStyle w:val="ListParagraph"/>
        <w:numPr>
          <w:ilvl w:val="0"/>
          <w:numId w:val="19"/>
        </w:numPr>
        <w:rPr>
          <w:b/>
          <w:sz w:val="20"/>
          <w:szCs w:val="20"/>
          <w:lang w:val="en-GB"/>
        </w:rPr>
      </w:pPr>
      <w:r>
        <w:rPr>
          <w:b/>
          <w:sz w:val="20"/>
          <w:szCs w:val="20"/>
          <w:lang w:val="en-GB"/>
        </w:rPr>
        <w:lastRenderedPageBreak/>
        <w:t xml:space="preserve">DATA SUBMITTER </w:t>
      </w:r>
      <w:r w:rsidR="00776A32">
        <w:rPr>
          <w:b/>
          <w:sz w:val="20"/>
          <w:szCs w:val="20"/>
          <w:lang w:val="en-GB"/>
        </w:rPr>
        <w:t>ROLES &amp; RESPONSIBILITIES</w:t>
      </w:r>
      <w:r>
        <w:rPr>
          <w:b/>
          <w:sz w:val="20"/>
          <w:szCs w:val="20"/>
          <w:lang w:val="en-GB"/>
        </w:rPr>
        <w:t xml:space="preserve"> </w:t>
      </w:r>
    </w:p>
    <w:p w14:paraId="53CF0532" w14:textId="0774A930" w:rsidR="00194753" w:rsidRPr="00F843C6" w:rsidRDefault="00614184" w:rsidP="00F843C6">
      <w:pPr>
        <w:ind w:firstLine="360"/>
        <w:rPr>
          <w:b/>
          <w:sz w:val="20"/>
          <w:szCs w:val="20"/>
          <w:lang w:val="en-GB"/>
        </w:rPr>
      </w:pPr>
      <w:r w:rsidRPr="00F843C6">
        <w:rPr>
          <w:w w:val="105"/>
          <w:sz w:val="20"/>
          <w:szCs w:val="20"/>
          <w:lang w:val="en-GB"/>
        </w:rPr>
        <w:t xml:space="preserve">The </w:t>
      </w:r>
      <w:r w:rsidR="00A914E6">
        <w:rPr>
          <w:w w:val="105"/>
          <w:sz w:val="20"/>
          <w:szCs w:val="20"/>
          <w:lang w:val="en-GB"/>
        </w:rPr>
        <w:t xml:space="preserve">data </w:t>
      </w:r>
      <w:r w:rsidRPr="00F843C6">
        <w:rPr>
          <w:w w:val="105"/>
          <w:sz w:val="20"/>
          <w:szCs w:val="20"/>
          <w:lang w:val="en-GB"/>
        </w:rPr>
        <w:t xml:space="preserve">submitter </w:t>
      </w:r>
      <w:r w:rsidR="00F843C6">
        <w:rPr>
          <w:w w:val="105"/>
          <w:sz w:val="20"/>
          <w:szCs w:val="20"/>
          <w:lang w:val="en-GB"/>
        </w:rPr>
        <w:t xml:space="preserve">will </w:t>
      </w:r>
      <w:r w:rsidR="009A58CF" w:rsidRPr="00F843C6">
        <w:rPr>
          <w:w w:val="105"/>
          <w:sz w:val="20"/>
          <w:szCs w:val="20"/>
          <w:lang w:val="en-GB"/>
        </w:rPr>
        <w:t>abide by the following requirements:</w:t>
      </w:r>
    </w:p>
    <w:p w14:paraId="7E8ACED1" w14:textId="77777777" w:rsidR="00725238" w:rsidRPr="003D670A" w:rsidRDefault="00725238" w:rsidP="00725238">
      <w:pPr>
        <w:pStyle w:val="ListParagraph"/>
        <w:numPr>
          <w:ilvl w:val="1"/>
          <w:numId w:val="13"/>
        </w:numPr>
        <w:rPr>
          <w:sz w:val="20"/>
          <w:szCs w:val="20"/>
          <w:lang w:val="en-GB"/>
        </w:rPr>
      </w:pPr>
      <w:r w:rsidRPr="00F843C6">
        <w:rPr>
          <w:w w:val="105"/>
          <w:sz w:val="20"/>
          <w:szCs w:val="20"/>
          <w:u w:val="single"/>
          <w:lang w:val="en-GB"/>
        </w:rPr>
        <w:t>Data Preparation &amp; Submission.</w:t>
      </w:r>
      <w:r w:rsidRPr="00F843C6">
        <w:rPr>
          <w:w w:val="105"/>
          <w:sz w:val="20"/>
          <w:szCs w:val="20"/>
          <w:lang w:val="en-GB"/>
        </w:rPr>
        <w:t xml:space="preserve"> </w:t>
      </w:r>
      <w:r>
        <w:rPr>
          <w:w w:val="105"/>
          <w:sz w:val="20"/>
          <w:szCs w:val="20"/>
          <w:lang w:val="en-GB"/>
        </w:rPr>
        <w:t>S</w:t>
      </w:r>
      <w:r w:rsidRPr="00F843C6">
        <w:rPr>
          <w:w w:val="105"/>
          <w:sz w:val="20"/>
          <w:szCs w:val="20"/>
          <w:lang w:val="en-GB"/>
        </w:rPr>
        <w:t xml:space="preserve">ubmitted data have been collected, processed, anonymized via a unique </w:t>
      </w:r>
      <w:r w:rsidRPr="00F843C6">
        <w:rPr>
          <w:rFonts w:eastAsia="Times New Roman" w:cstheme="minorHAnsi"/>
          <w:sz w:val="20"/>
          <w:szCs w:val="20"/>
        </w:rPr>
        <w:t xml:space="preserve">alphanumeric value not to exceed 12 characters, &amp; </w:t>
      </w:r>
      <w:r w:rsidRPr="00F843C6">
        <w:rPr>
          <w:w w:val="105"/>
          <w:sz w:val="20"/>
          <w:szCs w:val="20"/>
          <w:lang w:val="en-GB"/>
        </w:rPr>
        <w:t xml:space="preserve">transferred to CLIR in accordance with all local, state, regional, national or federal laws applicable to the data submitter. </w:t>
      </w:r>
    </w:p>
    <w:p w14:paraId="2E2D2B80" w14:textId="77777777" w:rsidR="00725238" w:rsidRPr="003D670A" w:rsidRDefault="00725238" w:rsidP="00725238">
      <w:pPr>
        <w:pStyle w:val="ListParagraph"/>
        <w:ind w:left="1080"/>
        <w:rPr>
          <w:sz w:val="20"/>
          <w:szCs w:val="20"/>
          <w:lang w:val="en-GB"/>
        </w:rPr>
      </w:pPr>
    </w:p>
    <w:p w14:paraId="15EAA5D8" w14:textId="785BC901" w:rsidR="00725238" w:rsidRPr="006F2299" w:rsidRDefault="00725238" w:rsidP="00725238">
      <w:pPr>
        <w:pStyle w:val="ListParagraph"/>
        <w:numPr>
          <w:ilvl w:val="2"/>
          <w:numId w:val="13"/>
        </w:numPr>
        <w:rPr>
          <w:sz w:val="20"/>
          <w:szCs w:val="20"/>
          <w:lang w:val="en-GB"/>
        </w:rPr>
      </w:pPr>
      <w:r>
        <w:rPr>
          <w:w w:val="105"/>
          <w:sz w:val="20"/>
          <w:szCs w:val="20"/>
          <w:u w:val="single"/>
          <w:lang w:val="en-GB"/>
        </w:rPr>
        <w:t>Minimum Initial Submission.</w:t>
      </w:r>
      <w:r>
        <w:rPr>
          <w:w w:val="105"/>
          <w:sz w:val="20"/>
          <w:szCs w:val="20"/>
          <w:lang w:val="en-GB"/>
        </w:rPr>
        <w:t xml:space="preserve"> The initial data submission for </w:t>
      </w:r>
      <w:r w:rsidR="00990978">
        <w:rPr>
          <w:w w:val="105"/>
          <w:sz w:val="20"/>
          <w:szCs w:val="20"/>
          <w:lang w:val="en-GB"/>
        </w:rPr>
        <w:t>new-born</w:t>
      </w:r>
      <w:r>
        <w:rPr>
          <w:w w:val="105"/>
          <w:sz w:val="20"/>
          <w:szCs w:val="20"/>
          <w:lang w:val="en-GB"/>
        </w:rPr>
        <w:t xml:space="preserve"> screening applications should be at least 10,000 reference cases, inclusive of covariates (age in hours, birth weight in grams, gestational age in weeks, and sex). This requirement is a function of being recognized by the adjustment builder as a meaningful contribution to the regression model used to create covariate-adjusted reference and disease ranges.</w:t>
      </w:r>
    </w:p>
    <w:p w14:paraId="242E9D1C" w14:textId="77777777" w:rsidR="00725238" w:rsidRPr="00725238" w:rsidRDefault="00725238" w:rsidP="00725238">
      <w:pPr>
        <w:pStyle w:val="ListParagraph"/>
        <w:numPr>
          <w:ilvl w:val="2"/>
          <w:numId w:val="13"/>
        </w:numPr>
        <w:rPr>
          <w:sz w:val="20"/>
          <w:szCs w:val="20"/>
          <w:lang w:val="en-GB"/>
        </w:rPr>
      </w:pPr>
      <w:r w:rsidRPr="006F2299">
        <w:rPr>
          <w:w w:val="105"/>
          <w:sz w:val="20"/>
          <w:szCs w:val="20"/>
          <w:u w:val="single"/>
          <w:lang w:val="en-GB"/>
        </w:rPr>
        <w:t>Source Data.</w:t>
      </w:r>
      <w:r w:rsidRPr="006F2299">
        <w:rPr>
          <w:w w:val="105"/>
          <w:sz w:val="20"/>
          <w:szCs w:val="20"/>
          <w:lang w:val="en-GB"/>
        </w:rPr>
        <w:t xml:space="preserve">  The submitting entity is responsible for retaining the source data in its system of record.</w:t>
      </w:r>
    </w:p>
    <w:p w14:paraId="6B49FFA0" w14:textId="77777777" w:rsidR="00725238" w:rsidRPr="00725238" w:rsidRDefault="00725238" w:rsidP="00725238">
      <w:pPr>
        <w:pStyle w:val="ListParagraph"/>
        <w:ind w:left="1800"/>
        <w:rPr>
          <w:sz w:val="20"/>
          <w:szCs w:val="20"/>
          <w:lang w:val="en-GB"/>
        </w:rPr>
      </w:pPr>
    </w:p>
    <w:p w14:paraId="4D1A3E14" w14:textId="2B4E0607" w:rsidR="00725238" w:rsidRPr="00725238" w:rsidRDefault="00725238" w:rsidP="00725238">
      <w:pPr>
        <w:pStyle w:val="ListParagraph"/>
        <w:numPr>
          <w:ilvl w:val="1"/>
          <w:numId w:val="13"/>
        </w:numPr>
        <w:rPr>
          <w:sz w:val="20"/>
          <w:szCs w:val="20"/>
          <w:lang w:val="en-GB"/>
        </w:rPr>
      </w:pPr>
      <w:r w:rsidRPr="00725238">
        <w:rPr>
          <w:sz w:val="20"/>
          <w:szCs w:val="20"/>
          <w:u w:val="single"/>
          <w:lang w:val="en-GB"/>
        </w:rPr>
        <w:t>Local Laws.</w:t>
      </w:r>
      <w:r w:rsidRPr="00725238">
        <w:rPr>
          <w:sz w:val="20"/>
          <w:szCs w:val="20"/>
          <w:lang w:val="en-GB"/>
        </w:rPr>
        <w:t xml:space="preserve"> If requested by the recipient, the data submitter will provide copies of relevant data protection laws of</w:t>
      </w:r>
      <w:r w:rsidRPr="00725238">
        <w:rPr>
          <w:spacing w:val="27"/>
          <w:sz w:val="20"/>
          <w:szCs w:val="20"/>
          <w:lang w:val="en-GB"/>
        </w:rPr>
        <w:t xml:space="preserve"> </w:t>
      </w:r>
      <w:r w:rsidRPr="00725238">
        <w:rPr>
          <w:sz w:val="20"/>
          <w:szCs w:val="20"/>
          <w:lang w:val="en-GB"/>
        </w:rPr>
        <w:t>the</w:t>
      </w:r>
      <w:r w:rsidRPr="00725238">
        <w:rPr>
          <w:spacing w:val="30"/>
          <w:sz w:val="20"/>
          <w:szCs w:val="20"/>
          <w:lang w:val="en-GB"/>
        </w:rPr>
        <w:t xml:space="preserve"> </w:t>
      </w:r>
      <w:r w:rsidRPr="00725238">
        <w:rPr>
          <w:sz w:val="20"/>
          <w:szCs w:val="20"/>
          <w:lang w:val="en-GB"/>
        </w:rPr>
        <w:t>country</w:t>
      </w:r>
      <w:r w:rsidRPr="00725238">
        <w:rPr>
          <w:spacing w:val="30"/>
          <w:sz w:val="20"/>
          <w:szCs w:val="20"/>
          <w:lang w:val="en-GB"/>
        </w:rPr>
        <w:t xml:space="preserve"> </w:t>
      </w:r>
      <w:r w:rsidRPr="00725238">
        <w:rPr>
          <w:sz w:val="20"/>
          <w:szCs w:val="20"/>
          <w:lang w:val="en-GB"/>
        </w:rPr>
        <w:t>in</w:t>
      </w:r>
      <w:r w:rsidRPr="00725238">
        <w:rPr>
          <w:spacing w:val="30"/>
          <w:sz w:val="20"/>
          <w:szCs w:val="20"/>
          <w:lang w:val="en-GB"/>
        </w:rPr>
        <w:t xml:space="preserve"> </w:t>
      </w:r>
      <w:r w:rsidRPr="00725238">
        <w:rPr>
          <w:sz w:val="20"/>
          <w:szCs w:val="20"/>
          <w:lang w:val="en-GB"/>
        </w:rPr>
        <w:t>which</w:t>
      </w:r>
      <w:r w:rsidRPr="00725238">
        <w:rPr>
          <w:spacing w:val="27"/>
          <w:sz w:val="20"/>
          <w:szCs w:val="20"/>
          <w:lang w:val="en-GB"/>
        </w:rPr>
        <w:t xml:space="preserve"> </w:t>
      </w:r>
      <w:r w:rsidRPr="00725238">
        <w:rPr>
          <w:sz w:val="20"/>
          <w:szCs w:val="20"/>
          <w:lang w:val="en-GB"/>
        </w:rPr>
        <w:t>the</w:t>
      </w:r>
      <w:r w:rsidRPr="00725238">
        <w:rPr>
          <w:spacing w:val="30"/>
          <w:sz w:val="20"/>
          <w:szCs w:val="20"/>
          <w:lang w:val="en-GB"/>
        </w:rPr>
        <w:t xml:space="preserve"> </w:t>
      </w:r>
      <w:r w:rsidRPr="00725238">
        <w:rPr>
          <w:sz w:val="20"/>
          <w:szCs w:val="20"/>
          <w:lang w:val="en-GB"/>
        </w:rPr>
        <w:t>data submitter</w:t>
      </w:r>
      <w:r w:rsidRPr="00725238">
        <w:rPr>
          <w:spacing w:val="30"/>
          <w:sz w:val="20"/>
          <w:szCs w:val="20"/>
          <w:lang w:val="en-GB"/>
        </w:rPr>
        <w:t xml:space="preserve"> </w:t>
      </w:r>
      <w:r w:rsidRPr="00725238">
        <w:rPr>
          <w:sz w:val="20"/>
          <w:szCs w:val="20"/>
          <w:lang w:val="en-GB"/>
        </w:rPr>
        <w:t xml:space="preserve">is established.  </w:t>
      </w:r>
      <w:r w:rsidRPr="00725238">
        <w:rPr>
          <w:w w:val="105"/>
          <w:sz w:val="20"/>
          <w:szCs w:val="20"/>
          <w:lang w:val="en-GB"/>
        </w:rPr>
        <w:t xml:space="preserve">The recipient only commits to complying with applicable local and federal data protection and privacy laws as stated in section 4a. </w:t>
      </w:r>
    </w:p>
    <w:p w14:paraId="2A47FEB4" w14:textId="77777777" w:rsidR="00A33C35" w:rsidRPr="00A33C35" w:rsidRDefault="00A33C35" w:rsidP="00A33C35">
      <w:pPr>
        <w:pStyle w:val="ListParagraph"/>
        <w:ind w:left="1080"/>
        <w:rPr>
          <w:sz w:val="20"/>
          <w:szCs w:val="20"/>
          <w:lang w:val="en-GB"/>
        </w:rPr>
      </w:pPr>
    </w:p>
    <w:p w14:paraId="7DE2CBC9" w14:textId="1D60754A" w:rsidR="005C1850" w:rsidRPr="00A33C35" w:rsidRDefault="009A58CF" w:rsidP="00A33C35">
      <w:pPr>
        <w:pStyle w:val="ListParagraph"/>
        <w:numPr>
          <w:ilvl w:val="1"/>
          <w:numId w:val="13"/>
        </w:numPr>
        <w:rPr>
          <w:sz w:val="20"/>
          <w:szCs w:val="20"/>
          <w:lang w:val="en-GB"/>
        </w:rPr>
      </w:pPr>
      <w:r w:rsidRPr="00A33C35">
        <w:rPr>
          <w:sz w:val="20"/>
          <w:szCs w:val="20"/>
          <w:u w:val="single"/>
          <w:lang w:val="en-GB"/>
        </w:rPr>
        <w:t>Data Control</w:t>
      </w:r>
      <w:r w:rsidR="00726378" w:rsidRPr="00A33C35">
        <w:rPr>
          <w:sz w:val="20"/>
          <w:szCs w:val="20"/>
          <w:u w:val="single"/>
          <w:lang w:val="en-GB"/>
        </w:rPr>
        <w:t xml:space="preserve"> and Ownership</w:t>
      </w:r>
      <w:r w:rsidRPr="00A33C35">
        <w:rPr>
          <w:sz w:val="20"/>
          <w:szCs w:val="20"/>
          <w:u w:val="single"/>
          <w:lang w:val="en-GB"/>
        </w:rPr>
        <w:t>.</w:t>
      </w:r>
      <w:r w:rsidRPr="00A33C35">
        <w:rPr>
          <w:sz w:val="20"/>
          <w:szCs w:val="20"/>
          <w:lang w:val="en-GB"/>
        </w:rPr>
        <w:t xml:space="preserve"> </w:t>
      </w:r>
      <w:r w:rsidR="00F843C6" w:rsidRPr="00A33C35">
        <w:rPr>
          <w:sz w:val="20"/>
          <w:szCs w:val="20"/>
          <w:lang w:val="en-GB"/>
        </w:rPr>
        <w:t xml:space="preserve">The </w:t>
      </w:r>
      <w:r w:rsidR="00D6113C" w:rsidRPr="00A33C35">
        <w:rPr>
          <w:sz w:val="20"/>
          <w:szCs w:val="20"/>
          <w:lang w:val="en-GB"/>
        </w:rPr>
        <w:t>submitt</w:t>
      </w:r>
      <w:r w:rsidR="00F843C6" w:rsidRPr="00A33C35">
        <w:rPr>
          <w:sz w:val="20"/>
          <w:szCs w:val="20"/>
          <w:lang w:val="en-GB"/>
        </w:rPr>
        <w:t>ing entity</w:t>
      </w:r>
      <w:r w:rsidR="00726378" w:rsidRPr="00A33C35">
        <w:rPr>
          <w:sz w:val="20"/>
          <w:szCs w:val="20"/>
          <w:lang w:val="en-GB"/>
        </w:rPr>
        <w:t xml:space="preserve"> retains ownership and </w:t>
      </w:r>
      <w:r w:rsidR="00DB52FE" w:rsidRPr="00A33C35">
        <w:rPr>
          <w:sz w:val="20"/>
          <w:szCs w:val="20"/>
          <w:lang w:val="en-GB"/>
        </w:rPr>
        <w:t xml:space="preserve">control </w:t>
      </w:r>
      <w:r w:rsidR="009661D4" w:rsidRPr="00A33C35">
        <w:rPr>
          <w:sz w:val="20"/>
          <w:szCs w:val="20"/>
          <w:lang w:val="en-GB"/>
        </w:rPr>
        <w:t>of the submitted entity data</w:t>
      </w:r>
      <w:r w:rsidR="00F843C6" w:rsidRPr="00A33C35">
        <w:rPr>
          <w:w w:val="105"/>
          <w:sz w:val="20"/>
          <w:szCs w:val="20"/>
          <w:lang w:val="en-GB"/>
        </w:rPr>
        <w:t>, including the following</w:t>
      </w:r>
      <w:r w:rsidR="00501600" w:rsidRPr="00A33C35">
        <w:rPr>
          <w:sz w:val="20"/>
          <w:szCs w:val="20"/>
          <w:lang w:val="en-GB"/>
        </w:rPr>
        <w:t>:</w:t>
      </w:r>
    </w:p>
    <w:p w14:paraId="1A027CA2" w14:textId="77777777" w:rsidR="005C1850" w:rsidRPr="005C1850" w:rsidRDefault="005C1850" w:rsidP="005C1850">
      <w:pPr>
        <w:pStyle w:val="ListParagraph"/>
        <w:rPr>
          <w:sz w:val="20"/>
          <w:szCs w:val="20"/>
          <w:u w:val="single"/>
          <w:lang w:val="en-GB"/>
        </w:rPr>
      </w:pPr>
    </w:p>
    <w:p w14:paraId="13CD4306" w14:textId="3B332BFC" w:rsidR="006F2299" w:rsidRDefault="00726378" w:rsidP="006F2299">
      <w:pPr>
        <w:pStyle w:val="ListParagraph"/>
        <w:numPr>
          <w:ilvl w:val="2"/>
          <w:numId w:val="13"/>
        </w:numPr>
        <w:rPr>
          <w:sz w:val="20"/>
          <w:szCs w:val="20"/>
          <w:lang w:val="en-GB"/>
        </w:rPr>
      </w:pPr>
      <w:r w:rsidRPr="005C1850">
        <w:rPr>
          <w:sz w:val="20"/>
          <w:szCs w:val="20"/>
          <w:u w:val="single"/>
          <w:lang w:val="en-GB"/>
        </w:rPr>
        <w:t xml:space="preserve">No Restrictions </w:t>
      </w:r>
      <w:r w:rsidR="009B1883" w:rsidRPr="005C1850">
        <w:rPr>
          <w:sz w:val="20"/>
          <w:szCs w:val="20"/>
          <w:u w:val="single"/>
          <w:lang w:val="en-GB"/>
        </w:rPr>
        <w:t>to</w:t>
      </w:r>
      <w:r w:rsidRPr="005C1850">
        <w:rPr>
          <w:sz w:val="20"/>
          <w:szCs w:val="20"/>
          <w:u w:val="single"/>
          <w:lang w:val="en-GB"/>
        </w:rPr>
        <w:t xml:space="preserve"> Use</w:t>
      </w:r>
      <w:r w:rsidR="001C7BDC" w:rsidRPr="005C1850">
        <w:rPr>
          <w:sz w:val="20"/>
          <w:szCs w:val="20"/>
          <w:u w:val="single"/>
          <w:lang w:val="en-GB"/>
        </w:rPr>
        <w:t>.</w:t>
      </w:r>
      <w:r w:rsidR="00F843C6" w:rsidRPr="005C1850">
        <w:rPr>
          <w:sz w:val="20"/>
          <w:szCs w:val="20"/>
          <w:lang w:val="en-GB"/>
        </w:rPr>
        <w:t xml:space="preserve"> </w:t>
      </w:r>
      <w:r w:rsidR="00725238" w:rsidRPr="005C1850">
        <w:rPr>
          <w:sz w:val="20"/>
          <w:szCs w:val="20"/>
          <w:lang w:val="en-GB"/>
        </w:rPr>
        <w:t xml:space="preserve">The </w:t>
      </w:r>
      <w:r w:rsidR="00725238">
        <w:rPr>
          <w:sz w:val="20"/>
          <w:szCs w:val="20"/>
          <w:lang w:val="en-GB"/>
        </w:rPr>
        <w:t xml:space="preserve">submitting </w:t>
      </w:r>
      <w:r w:rsidR="00725238" w:rsidRPr="005C1850">
        <w:rPr>
          <w:sz w:val="20"/>
          <w:szCs w:val="20"/>
          <w:lang w:val="en-GB"/>
        </w:rPr>
        <w:t>entity retains the right to use the</w:t>
      </w:r>
      <w:r w:rsidR="00725238">
        <w:rPr>
          <w:sz w:val="20"/>
          <w:szCs w:val="20"/>
          <w:lang w:val="en-GB"/>
        </w:rPr>
        <w:t xml:space="preserve"> submitted entity data for </w:t>
      </w:r>
      <w:r w:rsidR="00725238" w:rsidRPr="005C1850">
        <w:rPr>
          <w:sz w:val="20"/>
          <w:szCs w:val="20"/>
          <w:lang w:val="en-GB"/>
        </w:rPr>
        <w:t>any purpose,</w:t>
      </w:r>
      <w:r w:rsidR="00725238">
        <w:rPr>
          <w:sz w:val="20"/>
          <w:szCs w:val="20"/>
          <w:lang w:val="en-GB"/>
        </w:rPr>
        <w:t xml:space="preserve"> </w:t>
      </w:r>
      <w:r w:rsidR="00725238" w:rsidRPr="005C1850">
        <w:rPr>
          <w:sz w:val="20"/>
          <w:szCs w:val="20"/>
          <w:lang w:val="en-GB"/>
        </w:rPr>
        <w:t>including research or academic uses, without restriction.</w:t>
      </w:r>
      <w:r w:rsidR="00725238">
        <w:rPr>
          <w:sz w:val="20"/>
          <w:szCs w:val="20"/>
          <w:lang w:val="en-GB"/>
        </w:rPr>
        <w:t xml:space="preserve">  The submitting entity retains the right to the intellectual property associated with the submitted entity data.</w:t>
      </w:r>
    </w:p>
    <w:p w14:paraId="0576860F" w14:textId="4490F1EE" w:rsidR="005C1850" w:rsidRPr="006F2299" w:rsidRDefault="00811FF5" w:rsidP="006F2299">
      <w:pPr>
        <w:pStyle w:val="ListParagraph"/>
        <w:numPr>
          <w:ilvl w:val="2"/>
          <w:numId w:val="13"/>
        </w:numPr>
        <w:rPr>
          <w:sz w:val="20"/>
          <w:szCs w:val="20"/>
          <w:lang w:val="en-GB"/>
        </w:rPr>
      </w:pPr>
      <w:r w:rsidRPr="006F2299">
        <w:rPr>
          <w:sz w:val="20"/>
          <w:szCs w:val="20"/>
          <w:u w:val="single"/>
          <w:lang w:val="en-GB"/>
        </w:rPr>
        <w:t>Withdrawal</w:t>
      </w:r>
      <w:r w:rsidR="001C7BDC" w:rsidRPr="006F2299">
        <w:rPr>
          <w:sz w:val="20"/>
          <w:szCs w:val="20"/>
          <w:u w:val="single"/>
          <w:lang w:val="en-GB"/>
        </w:rPr>
        <w:t xml:space="preserve"> of Submitted </w:t>
      </w:r>
      <w:r w:rsidR="003828B0" w:rsidRPr="006F2299">
        <w:rPr>
          <w:sz w:val="20"/>
          <w:szCs w:val="20"/>
          <w:u w:val="single"/>
          <w:lang w:val="en-GB"/>
        </w:rPr>
        <w:t xml:space="preserve">Entity </w:t>
      </w:r>
      <w:r w:rsidR="001C7BDC" w:rsidRPr="006F2299">
        <w:rPr>
          <w:sz w:val="20"/>
          <w:szCs w:val="20"/>
          <w:u w:val="single"/>
          <w:lang w:val="en-GB"/>
        </w:rPr>
        <w:t>Data</w:t>
      </w:r>
      <w:r w:rsidR="00664032" w:rsidRPr="006F2299">
        <w:rPr>
          <w:sz w:val="20"/>
          <w:szCs w:val="20"/>
          <w:u w:val="single"/>
          <w:lang w:val="en-GB"/>
        </w:rPr>
        <w:t>.</w:t>
      </w:r>
      <w:r w:rsidR="00664032" w:rsidRPr="006F2299">
        <w:rPr>
          <w:sz w:val="20"/>
          <w:szCs w:val="20"/>
          <w:lang w:val="en-GB"/>
        </w:rPr>
        <w:t xml:space="preserve"> </w:t>
      </w:r>
      <w:r w:rsidR="00F843C6" w:rsidRPr="006F2299">
        <w:rPr>
          <w:sz w:val="20"/>
          <w:szCs w:val="20"/>
          <w:lang w:val="en-GB"/>
        </w:rPr>
        <w:t xml:space="preserve">The </w:t>
      </w:r>
      <w:r w:rsidR="003828B0" w:rsidRPr="006F2299">
        <w:rPr>
          <w:sz w:val="20"/>
          <w:szCs w:val="20"/>
          <w:lang w:val="en-GB"/>
        </w:rPr>
        <w:t xml:space="preserve">submitting </w:t>
      </w:r>
      <w:r w:rsidR="00664032" w:rsidRPr="006F2299">
        <w:rPr>
          <w:sz w:val="20"/>
          <w:szCs w:val="20"/>
          <w:lang w:val="en-GB"/>
        </w:rPr>
        <w:t>entity</w:t>
      </w:r>
      <w:r w:rsidR="001C7BDC" w:rsidRPr="006F2299">
        <w:rPr>
          <w:sz w:val="20"/>
          <w:szCs w:val="20"/>
          <w:lang w:val="en-GB"/>
        </w:rPr>
        <w:t xml:space="preserve"> retains the right </w:t>
      </w:r>
      <w:r w:rsidR="00DB16C8" w:rsidRPr="006F2299">
        <w:rPr>
          <w:sz w:val="20"/>
          <w:szCs w:val="20"/>
          <w:lang w:val="en-GB"/>
        </w:rPr>
        <w:t xml:space="preserve">and ability </w:t>
      </w:r>
      <w:r w:rsidR="001C7BDC" w:rsidRPr="006F2299">
        <w:rPr>
          <w:sz w:val="20"/>
          <w:szCs w:val="20"/>
          <w:lang w:val="en-GB"/>
        </w:rPr>
        <w:t>to r</w:t>
      </w:r>
      <w:r w:rsidR="00501600" w:rsidRPr="006F2299">
        <w:rPr>
          <w:sz w:val="20"/>
          <w:szCs w:val="20"/>
          <w:lang w:val="en-GB"/>
        </w:rPr>
        <w:t>e</w:t>
      </w:r>
      <w:r w:rsidR="005B58F3" w:rsidRPr="006F2299">
        <w:rPr>
          <w:sz w:val="20"/>
          <w:szCs w:val="20"/>
          <w:lang w:val="en-GB"/>
        </w:rPr>
        <w:t>move</w:t>
      </w:r>
      <w:r w:rsidR="0002246E" w:rsidRPr="006F2299">
        <w:rPr>
          <w:sz w:val="20"/>
          <w:szCs w:val="20"/>
          <w:lang w:val="en-GB"/>
        </w:rPr>
        <w:t>,</w:t>
      </w:r>
      <w:r w:rsidR="00DE5939" w:rsidRPr="006F2299">
        <w:rPr>
          <w:sz w:val="20"/>
          <w:szCs w:val="20"/>
          <w:lang w:val="en-GB"/>
        </w:rPr>
        <w:t xml:space="preserve"> without </w:t>
      </w:r>
      <w:r w:rsidR="00F275B9" w:rsidRPr="006F2299">
        <w:rPr>
          <w:sz w:val="20"/>
          <w:szCs w:val="20"/>
          <w:lang w:val="en-GB"/>
        </w:rPr>
        <w:t>notification</w:t>
      </w:r>
      <w:r w:rsidR="0002246E" w:rsidRPr="006F2299">
        <w:rPr>
          <w:sz w:val="20"/>
          <w:szCs w:val="20"/>
          <w:lang w:val="en-GB"/>
        </w:rPr>
        <w:t>,</w:t>
      </w:r>
      <w:r w:rsidR="0000632B" w:rsidRPr="006F2299">
        <w:rPr>
          <w:sz w:val="20"/>
          <w:szCs w:val="20"/>
          <w:lang w:val="en-GB"/>
        </w:rPr>
        <w:t xml:space="preserve"> </w:t>
      </w:r>
      <w:r w:rsidR="001C7BDC" w:rsidRPr="006F2299">
        <w:rPr>
          <w:sz w:val="20"/>
          <w:szCs w:val="20"/>
          <w:lang w:val="en-GB"/>
        </w:rPr>
        <w:t xml:space="preserve">any </w:t>
      </w:r>
      <w:r w:rsidR="00DE5939" w:rsidRPr="006F2299">
        <w:rPr>
          <w:sz w:val="20"/>
          <w:szCs w:val="20"/>
          <w:lang w:val="en-GB"/>
        </w:rPr>
        <w:t xml:space="preserve">previously </w:t>
      </w:r>
      <w:r w:rsidR="0000632B" w:rsidRPr="006F2299">
        <w:rPr>
          <w:sz w:val="20"/>
          <w:szCs w:val="20"/>
          <w:lang w:val="en-GB"/>
        </w:rPr>
        <w:t>submitted</w:t>
      </w:r>
      <w:r w:rsidR="00F275B9" w:rsidRPr="006F2299">
        <w:rPr>
          <w:sz w:val="20"/>
          <w:szCs w:val="20"/>
          <w:lang w:val="en-GB"/>
        </w:rPr>
        <w:t xml:space="preserve"> </w:t>
      </w:r>
      <w:r w:rsidR="003828B0" w:rsidRPr="006F2299">
        <w:rPr>
          <w:sz w:val="20"/>
          <w:szCs w:val="20"/>
          <w:lang w:val="en-GB"/>
        </w:rPr>
        <w:t xml:space="preserve">entity </w:t>
      </w:r>
      <w:r w:rsidR="00DE5939" w:rsidRPr="006F2299">
        <w:rPr>
          <w:sz w:val="20"/>
          <w:szCs w:val="20"/>
          <w:lang w:val="en-GB"/>
        </w:rPr>
        <w:t>data</w:t>
      </w:r>
      <w:r w:rsidR="00CD446F" w:rsidRPr="006F2299">
        <w:rPr>
          <w:sz w:val="20"/>
          <w:szCs w:val="20"/>
          <w:lang w:val="en-GB"/>
        </w:rPr>
        <w:t xml:space="preserve">. </w:t>
      </w:r>
      <w:r w:rsidR="00664032" w:rsidRPr="006F2299">
        <w:rPr>
          <w:sz w:val="20"/>
          <w:szCs w:val="20"/>
          <w:lang w:val="en-GB"/>
        </w:rPr>
        <w:t>I</w:t>
      </w:r>
      <w:r w:rsidR="00DE5939" w:rsidRPr="006F2299">
        <w:rPr>
          <w:sz w:val="20"/>
          <w:szCs w:val="20"/>
          <w:lang w:val="en-GB"/>
        </w:rPr>
        <w:t xml:space="preserve">f </w:t>
      </w:r>
      <w:r w:rsidR="00DB16C8" w:rsidRPr="006F2299">
        <w:rPr>
          <w:sz w:val="20"/>
          <w:szCs w:val="20"/>
          <w:lang w:val="en-GB"/>
        </w:rPr>
        <w:t xml:space="preserve">the </w:t>
      </w:r>
      <w:r w:rsidR="003828B0" w:rsidRPr="006F2299">
        <w:rPr>
          <w:sz w:val="20"/>
          <w:szCs w:val="20"/>
          <w:lang w:val="en-GB"/>
        </w:rPr>
        <w:t xml:space="preserve">data </w:t>
      </w:r>
      <w:r w:rsidR="00DE5939" w:rsidRPr="006F2299">
        <w:rPr>
          <w:sz w:val="20"/>
          <w:szCs w:val="20"/>
          <w:lang w:val="en-GB"/>
        </w:rPr>
        <w:t>submitter</w:t>
      </w:r>
      <w:r w:rsidR="00DB16C8" w:rsidRPr="006F2299">
        <w:rPr>
          <w:sz w:val="20"/>
          <w:szCs w:val="20"/>
          <w:lang w:val="en-GB"/>
        </w:rPr>
        <w:t xml:space="preserve"> removes all </w:t>
      </w:r>
      <w:r w:rsidR="003828B0" w:rsidRPr="006F2299">
        <w:rPr>
          <w:sz w:val="20"/>
          <w:szCs w:val="20"/>
          <w:lang w:val="en-GB"/>
        </w:rPr>
        <w:t>submitting</w:t>
      </w:r>
      <w:r w:rsidR="00DE5939" w:rsidRPr="006F2299">
        <w:rPr>
          <w:sz w:val="20"/>
          <w:szCs w:val="20"/>
          <w:lang w:val="en-GB"/>
        </w:rPr>
        <w:t xml:space="preserve"> entity </w:t>
      </w:r>
      <w:r w:rsidR="00C17A22" w:rsidRPr="006F2299">
        <w:rPr>
          <w:sz w:val="20"/>
          <w:szCs w:val="20"/>
          <w:lang w:val="en-GB"/>
        </w:rPr>
        <w:t>data</w:t>
      </w:r>
      <w:r w:rsidR="00165C14" w:rsidRPr="006F2299">
        <w:rPr>
          <w:sz w:val="20"/>
          <w:szCs w:val="20"/>
          <w:lang w:val="en-GB"/>
        </w:rPr>
        <w:t xml:space="preserve"> </w:t>
      </w:r>
      <w:r w:rsidR="00DE5939" w:rsidRPr="006F2299">
        <w:rPr>
          <w:sz w:val="20"/>
          <w:szCs w:val="20"/>
          <w:lang w:val="en-GB"/>
        </w:rPr>
        <w:t>fro</w:t>
      </w:r>
      <w:r w:rsidR="00165C14" w:rsidRPr="006F2299">
        <w:rPr>
          <w:sz w:val="20"/>
          <w:szCs w:val="20"/>
          <w:lang w:val="en-GB"/>
        </w:rPr>
        <w:t>m a particular application</w:t>
      </w:r>
      <w:r w:rsidR="00C17A22" w:rsidRPr="006F2299">
        <w:rPr>
          <w:sz w:val="20"/>
          <w:szCs w:val="20"/>
          <w:lang w:val="en-GB"/>
        </w:rPr>
        <w:t>;</w:t>
      </w:r>
      <w:r w:rsidR="00DB16C8" w:rsidRPr="006F2299">
        <w:rPr>
          <w:sz w:val="20"/>
          <w:szCs w:val="20"/>
          <w:lang w:val="en-GB"/>
        </w:rPr>
        <w:t xml:space="preserve"> the entity will </w:t>
      </w:r>
      <w:r w:rsidR="00E52B25" w:rsidRPr="006F2299">
        <w:rPr>
          <w:sz w:val="20"/>
          <w:szCs w:val="20"/>
          <w:lang w:val="en-GB"/>
        </w:rPr>
        <w:t>forfeit access to</w:t>
      </w:r>
      <w:r w:rsidR="00DB16C8" w:rsidRPr="006F2299">
        <w:rPr>
          <w:sz w:val="20"/>
          <w:szCs w:val="20"/>
          <w:lang w:val="en-GB"/>
        </w:rPr>
        <w:t xml:space="preserve"> </w:t>
      </w:r>
      <w:r w:rsidR="00BE3E3E" w:rsidRPr="006F2299">
        <w:rPr>
          <w:sz w:val="20"/>
          <w:szCs w:val="20"/>
          <w:lang w:val="en-GB"/>
        </w:rPr>
        <w:t>all CLIR applications that utilize such data</w:t>
      </w:r>
      <w:r w:rsidR="00165C14" w:rsidRPr="006F2299">
        <w:rPr>
          <w:sz w:val="20"/>
          <w:szCs w:val="20"/>
          <w:lang w:val="en-GB"/>
        </w:rPr>
        <w:t xml:space="preserve">, but retain access to </w:t>
      </w:r>
      <w:r w:rsidR="00BE3E3E" w:rsidRPr="006F2299">
        <w:rPr>
          <w:sz w:val="20"/>
          <w:szCs w:val="20"/>
          <w:lang w:val="en-GB"/>
        </w:rPr>
        <w:t>other applications</w:t>
      </w:r>
      <w:r w:rsidR="005E4BA3" w:rsidRPr="006F2299">
        <w:rPr>
          <w:sz w:val="20"/>
          <w:szCs w:val="20"/>
          <w:lang w:val="en-GB"/>
        </w:rPr>
        <w:t>, when applicable</w:t>
      </w:r>
      <w:r w:rsidR="00BE3E3E" w:rsidRPr="006F2299">
        <w:rPr>
          <w:sz w:val="20"/>
          <w:szCs w:val="20"/>
          <w:lang w:val="en-GB"/>
        </w:rPr>
        <w:t xml:space="preserve">. </w:t>
      </w:r>
      <w:r w:rsidR="00385ED2" w:rsidRPr="006F2299">
        <w:rPr>
          <w:sz w:val="20"/>
          <w:szCs w:val="20"/>
          <w:lang w:val="en-GB"/>
        </w:rPr>
        <w:t xml:space="preserve">If the submitting entity </w:t>
      </w:r>
      <w:r w:rsidR="007C3486" w:rsidRPr="006F2299">
        <w:rPr>
          <w:sz w:val="20"/>
          <w:szCs w:val="20"/>
          <w:lang w:val="en-GB"/>
        </w:rPr>
        <w:t xml:space="preserve">no longer has access to CLIR and </w:t>
      </w:r>
      <w:r w:rsidR="00385ED2" w:rsidRPr="006F2299">
        <w:rPr>
          <w:sz w:val="20"/>
          <w:szCs w:val="20"/>
          <w:lang w:val="en-GB"/>
        </w:rPr>
        <w:t>wants to remove the submitted data</w:t>
      </w:r>
      <w:r w:rsidR="007C3486" w:rsidRPr="007C3486">
        <w:rPr>
          <w:rStyle w:val="CommentReference"/>
        </w:rPr>
        <w:t xml:space="preserve">, </w:t>
      </w:r>
      <w:r w:rsidR="00385ED2" w:rsidRPr="006F2299">
        <w:rPr>
          <w:sz w:val="20"/>
          <w:szCs w:val="20"/>
          <w:lang w:val="en-GB"/>
        </w:rPr>
        <w:t>the submitting entity should send an email to the CLIR support team, who will remove the submitted data within 5 business days.</w:t>
      </w:r>
    </w:p>
    <w:p w14:paraId="1E2F148B" w14:textId="75E4C92E" w:rsidR="00CD446F" w:rsidRPr="0059613A" w:rsidRDefault="00CD446F" w:rsidP="0059613A">
      <w:pPr>
        <w:pStyle w:val="ListParagraph"/>
        <w:ind w:left="1800"/>
        <w:rPr>
          <w:i/>
          <w:w w:val="105"/>
          <w:sz w:val="20"/>
          <w:szCs w:val="20"/>
          <w:lang w:val="en-GB"/>
        </w:rPr>
      </w:pPr>
      <w:r w:rsidRPr="00CD446F">
        <w:rPr>
          <w:i/>
          <w:color w:val="FF0000"/>
          <w:sz w:val="20"/>
          <w:szCs w:val="20"/>
          <w:lang w:val="en-GB"/>
        </w:rPr>
        <w:t>* Note:</w:t>
      </w:r>
      <w:r>
        <w:rPr>
          <w:i/>
          <w:w w:val="105"/>
          <w:sz w:val="20"/>
          <w:szCs w:val="20"/>
          <w:lang w:val="en-GB"/>
        </w:rPr>
        <w:t xml:space="preserve"> Deleted</w:t>
      </w:r>
      <w:r w:rsidRPr="00CD446F">
        <w:rPr>
          <w:i/>
          <w:w w:val="105"/>
          <w:sz w:val="20"/>
          <w:szCs w:val="20"/>
          <w:lang w:val="en-GB"/>
        </w:rPr>
        <w:t xml:space="preserve"> data </w:t>
      </w:r>
      <w:r w:rsidR="00DE5939">
        <w:rPr>
          <w:i/>
          <w:w w:val="105"/>
          <w:sz w:val="20"/>
          <w:szCs w:val="20"/>
          <w:lang w:val="en-GB"/>
        </w:rPr>
        <w:t xml:space="preserve">will </w:t>
      </w:r>
      <w:r>
        <w:rPr>
          <w:i/>
          <w:w w:val="105"/>
          <w:sz w:val="20"/>
          <w:szCs w:val="20"/>
          <w:lang w:val="en-GB"/>
        </w:rPr>
        <w:t>exist in d</w:t>
      </w:r>
      <w:r w:rsidRPr="00CD446F">
        <w:rPr>
          <w:i/>
          <w:w w:val="105"/>
          <w:sz w:val="20"/>
          <w:szCs w:val="20"/>
          <w:lang w:val="en-GB"/>
        </w:rPr>
        <w:t>atabase backups</w:t>
      </w:r>
      <w:r>
        <w:rPr>
          <w:i/>
          <w:w w:val="105"/>
          <w:sz w:val="20"/>
          <w:szCs w:val="20"/>
          <w:lang w:val="en-GB"/>
        </w:rPr>
        <w:t xml:space="preserve">, which </w:t>
      </w:r>
      <w:r w:rsidR="00DE5939">
        <w:rPr>
          <w:i/>
          <w:w w:val="105"/>
          <w:sz w:val="20"/>
          <w:szCs w:val="20"/>
          <w:lang w:val="en-GB"/>
        </w:rPr>
        <w:t>are</w:t>
      </w:r>
      <w:r>
        <w:rPr>
          <w:i/>
          <w:w w:val="105"/>
          <w:sz w:val="20"/>
          <w:szCs w:val="20"/>
          <w:lang w:val="en-GB"/>
        </w:rPr>
        <w:t xml:space="preserve"> </w:t>
      </w:r>
      <w:r w:rsidRPr="00CD446F">
        <w:rPr>
          <w:i/>
          <w:w w:val="105"/>
          <w:sz w:val="20"/>
          <w:szCs w:val="20"/>
          <w:lang w:val="en-GB"/>
        </w:rPr>
        <w:t xml:space="preserve">purged according to the hosting institution’s enterprise standards.  If a disaster recovery </w:t>
      </w:r>
      <w:r w:rsidR="00DE5939">
        <w:rPr>
          <w:i/>
          <w:w w:val="105"/>
          <w:sz w:val="20"/>
          <w:szCs w:val="20"/>
          <w:lang w:val="en-GB"/>
        </w:rPr>
        <w:t>is needed</w:t>
      </w:r>
      <w:r>
        <w:rPr>
          <w:i/>
          <w:w w:val="105"/>
          <w:sz w:val="20"/>
          <w:szCs w:val="20"/>
          <w:lang w:val="en-GB"/>
        </w:rPr>
        <w:t xml:space="preserve">, </w:t>
      </w:r>
      <w:r w:rsidRPr="00CD446F">
        <w:rPr>
          <w:i/>
          <w:w w:val="105"/>
          <w:sz w:val="20"/>
          <w:szCs w:val="20"/>
          <w:lang w:val="en-GB"/>
        </w:rPr>
        <w:t xml:space="preserve">all submitters will be notified following standard enterprise procedures AND </w:t>
      </w:r>
      <w:r w:rsidR="00DE5939">
        <w:rPr>
          <w:i/>
          <w:w w:val="105"/>
          <w:sz w:val="20"/>
          <w:szCs w:val="20"/>
          <w:lang w:val="en-GB"/>
        </w:rPr>
        <w:t>are</w:t>
      </w:r>
      <w:r w:rsidRPr="00CD446F">
        <w:rPr>
          <w:i/>
          <w:w w:val="105"/>
          <w:sz w:val="20"/>
          <w:szCs w:val="20"/>
          <w:lang w:val="en-GB"/>
        </w:rPr>
        <w:t xml:space="preserve"> responsible for </w:t>
      </w:r>
      <w:r>
        <w:rPr>
          <w:i/>
          <w:w w:val="105"/>
          <w:sz w:val="20"/>
          <w:szCs w:val="20"/>
          <w:lang w:val="en-GB"/>
        </w:rPr>
        <w:t xml:space="preserve">removing unwanted </w:t>
      </w:r>
      <w:r w:rsidR="00DE5939">
        <w:rPr>
          <w:i/>
          <w:w w:val="105"/>
          <w:sz w:val="20"/>
          <w:szCs w:val="20"/>
          <w:lang w:val="en-GB"/>
        </w:rPr>
        <w:t xml:space="preserve">data, if it should exist, </w:t>
      </w:r>
      <w:r w:rsidRPr="00CD446F">
        <w:rPr>
          <w:i/>
          <w:w w:val="105"/>
          <w:sz w:val="20"/>
          <w:szCs w:val="20"/>
          <w:lang w:val="en-GB"/>
        </w:rPr>
        <w:t>after the restor</w:t>
      </w:r>
      <w:r w:rsidR="00DE5939">
        <w:rPr>
          <w:i/>
          <w:w w:val="105"/>
          <w:sz w:val="20"/>
          <w:szCs w:val="20"/>
          <w:lang w:val="en-GB"/>
        </w:rPr>
        <w:t>ation is complete</w:t>
      </w:r>
      <w:r w:rsidRPr="00CD446F">
        <w:rPr>
          <w:i/>
          <w:w w:val="105"/>
          <w:sz w:val="20"/>
          <w:szCs w:val="20"/>
          <w:lang w:val="en-GB"/>
        </w:rPr>
        <w:t>.</w:t>
      </w:r>
    </w:p>
    <w:p w14:paraId="56FA9103" w14:textId="35D5A87D" w:rsidR="005C1850" w:rsidRPr="0059613A" w:rsidRDefault="00664032" w:rsidP="0059613A">
      <w:pPr>
        <w:pStyle w:val="ListParagraph"/>
        <w:numPr>
          <w:ilvl w:val="2"/>
          <w:numId w:val="13"/>
        </w:numPr>
        <w:rPr>
          <w:sz w:val="20"/>
          <w:szCs w:val="20"/>
          <w:lang w:val="en-GB"/>
        </w:rPr>
      </w:pPr>
      <w:r w:rsidRPr="005C1850">
        <w:rPr>
          <w:sz w:val="20"/>
          <w:szCs w:val="20"/>
          <w:u w:val="single"/>
          <w:lang w:val="en-GB"/>
        </w:rPr>
        <w:t>Continuity of Contributed Data.</w:t>
      </w:r>
      <w:r w:rsidR="00F843C6" w:rsidRPr="005C1850">
        <w:rPr>
          <w:sz w:val="20"/>
          <w:szCs w:val="20"/>
          <w:lang w:val="en-GB"/>
        </w:rPr>
        <w:t xml:space="preserve"> </w:t>
      </w:r>
      <w:r w:rsidR="00EF7AD3">
        <w:rPr>
          <w:sz w:val="20"/>
          <w:szCs w:val="20"/>
          <w:lang w:val="en-GB"/>
        </w:rPr>
        <w:t>I</w:t>
      </w:r>
      <w:r w:rsidR="00EF7AD3" w:rsidRPr="005C1850">
        <w:rPr>
          <w:sz w:val="20"/>
          <w:szCs w:val="20"/>
          <w:lang w:val="en-GB"/>
        </w:rPr>
        <w:t xml:space="preserve">f </w:t>
      </w:r>
      <w:r w:rsidR="00EF7AD3">
        <w:rPr>
          <w:sz w:val="20"/>
          <w:szCs w:val="20"/>
          <w:lang w:val="en-GB"/>
        </w:rPr>
        <w:t>the submitting entity fails to pro</w:t>
      </w:r>
      <w:r w:rsidR="00EF7AD3" w:rsidRPr="005C1850">
        <w:rPr>
          <w:sz w:val="20"/>
          <w:szCs w:val="20"/>
          <w:lang w:val="en-GB"/>
        </w:rPr>
        <w:t xml:space="preserve">vide new </w:t>
      </w:r>
      <w:r w:rsidR="00EF7AD3">
        <w:rPr>
          <w:sz w:val="20"/>
          <w:szCs w:val="20"/>
          <w:lang w:val="en-GB"/>
        </w:rPr>
        <w:t xml:space="preserve">reference and case </w:t>
      </w:r>
      <w:r w:rsidR="00EF7AD3" w:rsidRPr="005C1850">
        <w:rPr>
          <w:sz w:val="20"/>
          <w:szCs w:val="20"/>
          <w:lang w:val="en-GB"/>
        </w:rPr>
        <w:t>data within a 12 consecutive month period</w:t>
      </w:r>
      <w:r w:rsidR="00EF7AD3">
        <w:rPr>
          <w:sz w:val="20"/>
          <w:szCs w:val="20"/>
          <w:lang w:val="en-GB"/>
        </w:rPr>
        <w:t>, a warning will be issued followed by removal of the submitting entity’s access to CLIR.  Access will be reinstated promptly following a new data submission</w:t>
      </w:r>
    </w:p>
    <w:p w14:paraId="35899F09" w14:textId="4157BA84" w:rsidR="00BE3E3E" w:rsidRPr="005C1850" w:rsidRDefault="005C1850" w:rsidP="005C1850">
      <w:pPr>
        <w:pStyle w:val="ListParagraph"/>
        <w:numPr>
          <w:ilvl w:val="2"/>
          <w:numId w:val="13"/>
        </w:numPr>
        <w:rPr>
          <w:sz w:val="20"/>
          <w:szCs w:val="20"/>
          <w:lang w:val="en-GB"/>
        </w:rPr>
      </w:pPr>
      <w:r>
        <w:rPr>
          <w:sz w:val="20"/>
          <w:szCs w:val="20"/>
          <w:lang w:val="en-GB"/>
        </w:rPr>
        <w:t xml:space="preserve">Rules ii </w:t>
      </w:r>
      <w:r w:rsidR="00DE5939">
        <w:rPr>
          <w:sz w:val="20"/>
          <w:szCs w:val="20"/>
          <w:lang w:val="en-GB"/>
        </w:rPr>
        <w:t xml:space="preserve">&amp; </w:t>
      </w:r>
      <w:r>
        <w:rPr>
          <w:sz w:val="20"/>
          <w:szCs w:val="20"/>
          <w:lang w:val="en-GB"/>
        </w:rPr>
        <w:t>iii</w:t>
      </w:r>
      <w:r w:rsidR="00BE3E3E" w:rsidRPr="005C1850">
        <w:rPr>
          <w:sz w:val="20"/>
          <w:szCs w:val="20"/>
          <w:lang w:val="en-GB"/>
        </w:rPr>
        <w:t xml:space="preserve"> apply to all users sharing the same entity as their primary affiliation within CLIR. </w:t>
      </w:r>
    </w:p>
    <w:p w14:paraId="3C69F90E" w14:textId="77777777" w:rsidR="00726378" w:rsidRDefault="00726378" w:rsidP="00726378">
      <w:pPr>
        <w:pStyle w:val="ListParagraph"/>
        <w:rPr>
          <w:sz w:val="20"/>
          <w:szCs w:val="20"/>
          <w:lang w:val="en-GB"/>
        </w:rPr>
      </w:pPr>
    </w:p>
    <w:p w14:paraId="1423A77D" w14:textId="77777777" w:rsidR="005C1850" w:rsidRDefault="000A4297" w:rsidP="005C1850">
      <w:pPr>
        <w:pStyle w:val="ListParagraph"/>
        <w:numPr>
          <w:ilvl w:val="1"/>
          <w:numId w:val="13"/>
        </w:numPr>
        <w:rPr>
          <w:sz w:val="20"/>
          <w:szCs w:val="20"/>
          <w:lang w:val="en-GB"/>
        </w:rPr>
      </w:pPr>
      <w:r w:rsidRPr="005C1850">
        <w:rPr>
          <w:sz w:val="20"/>
          <w:szCs w:val="20"/>
          <w:u w:val="single"/>
          <w:lang w:val="en-GB"/>
        </w:rPr>
        <w:lastRenderedPageBreak/>
        <w:t>Academic Use of CLIR.</w:t>
      </w:r>
      <w:r w:rsidRPr="005C1850">
        <w:rPr>
          <w:sz w:val="20"/>
          <w:szCs w:val="20"/>
          <w:lang w:val="en-GB"/>
        </w:rPr>
        <w:t xml:space="preserve"> An </w:t>
      </w:r>
      <w:r w:rsidR="00664032" w:rsidRPr="005C1850">
        <w:rPr>
          <w:sz w:val="20"/>
          <w:szCs w:val="20"/>
          <w:lang w:val="en-GB"/>
        </w:rPr>
        <w:t>entity</w:t>
      </w:r>
      <w:r w:rsidRPr="005C1850">
        <w:rPr>
          <w:sz w:val="20"/>
          <w:szCs w:val="20"/>
          <w:lang w:val="en-GB"/>
        </w:rPr>
        <w:t xml:space="preserve"> </w:t>
      </w:r>
      <w:r w:rsidR="0023583F" w:rsidRPr="005C1850">
        <w:rPr>
          <w:sz w:val="20"/>
          <w:szCs w:val="20"/>
          <w:lang w:val="en-GB"/>
        </w:rPr>
        <w:t>is encouraged to</w:t>
      </w:r>
      <w:r w:rsidRPr="005C1850">
        <w:rPr>
          <w:sz w:val="20"/>
          <w:szCs w:val="20"/>
          <w:lang w:val="en-GB"/>
        </w:rPr>
        <w:t xml:space="preserve"> use CLIR for academic purposes with the following limitations:</w:t>
      </w:r>
    </w:p>
    <w:p w14:paraId="5CEEB759" w14:textId="77777777" w:rsidR="005C1850" w:rsidRPr="005C1850" w:rsidRDefault="005C1850" w:rsidP="005C1850">
      <w:pPr>
        <w:pStyle w:val="ListParagraph"/>
        <w:ind w:left="1080"/>
        <w:rPr>
          <w:sz w:val="20"/>
          <w:szCs w:val="20"/>
          <w:lang w:val="en-GB"/>
        </w:rPr>
      </w:pPr>
    </w:p>
    <w:p w14:paraId="391F9B07" w14:textId="77777777" w:rsidR="0055225F" w:rsidRDefault="000A4297" w:rsidP="0055225F">
      <w:pPr>
        <w:pStyle w:val="ListParagraph"/>
        <w:numPr>
          <w:ilvl w:val="2"/>
          <w:numId w:val="13"/>
        </w:numPr>
        <w:rPr>
          <w:sz w:val="20"/>
          <w:szCs w:val="20"/>
          <w:lang w:val="en-GB"/>
        </w:rPr>
      </w:pPr>
      <w:r w:rsidRPr="005C1850">
        <w:rPr>
          <w:sz w:val="20"/>
          <w:szCs w:val="20"/>
          <w:u w:val="single"/>
          <w:lang w:val="en-GB"/>
        </w:rPr>
        <w:t>Right to Review.</w:t>
      </w:r>
      <w:r w:rsidR="0059613A">
        <w:rPr>
          <w:sz w:val="20"/>
          <w:szCs w:val="20"/>
          <w:lang w:val="en-GB"/>
        </w:rPr>
        <w:t xml:space="preserve"> A</w:t>
      </w:r>
      <w:r w:rsidRPr="005C1850">
        <w:rPr>
          <w:sz w:val="20"/>
          <w:szCs w:val="20"/>
          <w:lang w:val="en-GB"/>
        </w:rPr>
        <w:t xml:space="preserve"> </w:t>
      </w:r>
      <w:r w:rsidR="00CD446F">
        <w:rPr>
          <w:sz w:val="20"/>
          <w:szCs w:val="20"/>
          <w:lang w:val="en-GB"/>
        </w:rPr>
        <w:t>submitter</w:t>
      </w:r>
      <w:r w:rsidRPr="005C1850">
        <w:rPr>
          <w:sz w:val="20"/>
          <w:szCs w:val="20"/>
          <w:lang w:val="en-GB"/>
        </w:rPr>
        <w:t xml:space="preserve"> using CLIR to generate data or figures intended for publication</w:t>
      </w:r>
      <w:r w:rsidR="00991831" w:rsidRPr="005C1850">
        <w:rPr>
          <w:sz w:val="20"/>
          <w:szCs w:val="20"/>
          <w:lang w:val="en-GB"/>
        </w:rPr>
        <w:t xml:space="preserve"> in a peer reviewed journal</w:t>
      </w:r>
      <w:r w:rsidRPr="005C1850">
        <w:rPr>
          <w:sz w:val="20"/>
          <w:szCs w:val="20"/>
          <w:lang w:val="en-GB"/>
        </w:rPr>
        <w:t xml:space="preserve"> agrees to allow CLIR</w:t>
      </w:r>
      <w:r w:rsidR="00DB1962" w:rsidRPr="005C1850">
        <w:rPr>
          <w:sz w:val="20"/>
          <w:szCs w:val="20"/>
          <w:lang w:val="en-GB"/>
        </w:rPr>
        <w:t xml:space="preserve"> administrators </w:t>
      </w:r>
      <w:r w:rsidRPr="005C1850">
        <w:rPr>
          <w:sz w:val="20"/>
          <w:szCs w:val="20"/>
          <w:lang w:val="en-GB"/>
        </w:rPr>
        <w:t>to review</w:t>
      </w:r>
      <w:r w:rsidR="00991831" w:rsidRPr="005C1850">
        <w:rPr>
          <w:sz w:val="20"/>
          <w:szCs w:val="20"/>
          <w:lang w:val="en-GB"/>
        </w:rPr>
        <w:t xml:space="preserve"> and possibly enhance</w:t>
      </w:r>
      <w:r w:rsidRPr="005C1850">
        <w:rPr>
          <w:sz w:val="20"/>
          <w:szCs w:val="20"/>
          <w:lang w:val="en-GB"/>
        </w:rPr>
        <w:t xml:space="preserve"> </w:t>
      </w:r>
      <w:r w:rsidR="005E4BA3">
        <w:rPr>
          <w:sz w:val="20"/>
          <w:szCs w:val="20"/>
          <w:lang w:val="en-GB"/>
        </w:rPr>
        <w:t>CLIR-related material</w:t>
      </w:r>
      <w:r w:rsidR="00F77453" w:rsidRPr="005C1850">
        <w:rPr>
          <w:sz w:val="20"/>
          <w:szCs w:val="20"/>
          <w:lang w:val="en-GB"/>
        </w:rPr>
        <w:t xml:space="preserve"> prior to submission for publication.</w:t>
      </w:r>
      <w:r w:rsidR="00220789" w:rsidRPr="005C1850">
        <w:rPr>
          <w:sz w:val="20"/>
          <w:szCs w:val="20"/>
          <w:lang w:val="en-GB"/>
        </w:rPr>
        <w:t xml:space="preserve"> </w:t>
      </w:r>
      <w:r w:rsidR="00BE3E3E" w:rsidRPr="005C1850">
        <w:rPr>
          <w:sz w:val="20"/>
          <w:szCs w:val="20"/>
          <w:lang w:val="en-GB"/>
        </w:rPr>
        <w:t>A review</w:t>
      </w:r>
      <w:r w:rsidR="00220789" w:rsidRPr="005C1850">
        <w:rPr>
          <w:sz w:val="20"/>
          <w:szCs w:val="20"/>
          <w:lang w:val="en-GB"/>
        </w:rPr>
        <w:t xml:space="preserve"> is not required for slide presentations or posters.</w:t>
      </w:r>
    </w:p>
    <w:p w14:paraId="19B1196C" w14:textId="77777777" w:rsidR="0055225F" w:rsidRDefault="00220789" w:rsidP="0055225F">
      <w:pPr>
        <w:pStyle w:val="ListParagraph"/>
        <w:numPr>
          <w:ilvl w:val="2"/>
          <w:numId w:val="13"/>
        </w:numPr>
        <w:rPr>
          <w:sz w:val="20"/>
          <w:szCs w:val="20"/>
          <w:lang w:val="en-GB"/>
        </w:rPr>
      </w:pPr>
      <w:r w:rsidRPr="0055225F">
        <w:rPr>
          <w:sz w:val="20"/>
          <w:szCs w:val="20"/>
          <w:u w:val="single"/>
          <w:lang w:val="en-GB"/>
        </w:rPr>
        <w:t>Right to Approve</w:t>
      </w:r>
      <w:r w:rsidR="00523867" w:rsidRPr="0055225F">
        <w:rPr>
          <w:sz w:val="20"/>
          <w:szCs w:val="20"/>
          <w:lang w:val="en-GB"/>
        </w:rPr>
        <w:t>.  A</w:t>
      </w:r>
      <w:r w:rsidR="00CD446F" w:rsidRPr="0055225F">
        <w:rPr>
          <w:sz w:val="20"/>
          <w:szCs w:val="20"/>
          <w:lang w:val="en-GB"/>
        </w:rPr>
        <w:t xml:space="preserve"> submitter</w:t>
      </w:r>
      <w:r w:rsidR="00251D25" w:rsidRPr="0055225F">
        <w:rPr>
          <w:sz w:val="20"/>
          <w:szCs w:val="20"/>
          <w:lang w:val="en-GB"/>
        </w:rPr>
        <w:t xml:space="preserve"> </w:t>
      </w:r>
      <w:r w:rsidR="00F77453" w:rsidRPr="0055225F">
        <w:rPr>
          <w:sz w:val="20"/>
          <w:szCs w:val="20"/>
          <w:lang w:val="en-GB"/>
        </w:rPr>
        <w:t>agrees not to publish data or figures generated by CLIR without approval from CLIR</w:t>
      </w:r>
      <w:r w:rsidR="00DB1962" w:rsidRPr="0055225F">
        <w:rPr>
          <w:sz w:val="20"/>
          <w:szCs w:val="20"/>
          <w:lang w:val="en-GB"/>
        </w:rPr>
        <w:t xml:space="preserve"> administrators</w:t>
      </w:r>
      <w:r w:rsidR="00F77453" w:rsidRPr="0055225F">
        <w:rPr>
          <w:sz w:val="20"/>
          <w:szCs w:val="20"/>
          <w:lang w:val="en-GB"/>
        </w:rPr>
        <w:t>.</w:t>
      </w:r>
      <w:r w:rsidR="0012552F" w:rsidRPr="0055225F">
        <w:rPr>
          <w:sz w:val="20"/>
          <w:szCs w:val="20"/>
          <w:lang w:val="en-GB"/>
        </w:rPr>
        <w:t xml:space="preserve">  If the CLIR core team finds </w:t>
      </w:r>
      <w:r w:rsidR="0074653A" w:rsidRPr="0055225F">
        <w:rPr>
          <w:sz w:val="20"/>
          <w:szCs w:val="20"/>
          <w:lang w:val="en-GB"/>
        </w:rPr>
        <w:t xml:space="preserve">the </w:t>
      </w:r>
      <w:r w:rsidR="0012552F" w:rsidRPr="0055225F">
        <w:rPr>
          <w:sz w:val="20"/>
          <w:szCs w:val="20"/>
          <w:lang w:val="en-GB"/>
        </w:rPr>
        <w:t>data or figures ar</w:t>
      </w:r>
      <w:r w:rsidR="00C17A22" w:rsidRPr="0055225F">
        <w:rPr>
          <w:sz w:val="20"/>
          <w:szCs w:val="20"/>
          <w:lang w:val="en-GB"/>
        </w:rPr>
        <w:t xml:space="preserve">e being presented inaccurately </w:t>
      </w:r>
      <w:r w:rsidR="0012552F" w:rsidRPr="0055225F">
        <w:rPr>
          <w:sz w:val="20"/>
          <w:szCs w:val="20"/>
          <w:lang w:val="en-GB"/>
        </w:rPr>
        <w:t xml:space="preserve">and the entity does not </w:t>
      </w:r>
      <w:r w:rsidR="00C17A22" w:rsidRPr="0055225F">
        <w:rPr>
          <w:sz w:val="20"/>
          <w:szCs w:val="20"/>
          <w:lang w:val="en-GB"/>
        </w:rPr>
        <w:t xml:space="preserve">take steps to </w:t>
      </w:r>
      <w:r w:rsidR="0012552F" w:rsidRPr="0055225F">
        <w:rPr>
          <w:sz w:val="20"/>
          <w:szCs w:val="20"/>
          <w:lang w:val="en-GB"/>
        </w:rPr>
        <w:t>resolve the</w:t>
      </w:r>
      <w:r w:rsidR="00C17A22" w:rsidRPr="0055225F">
        <w:rPr>
          <w:sz w:val="20"/>
          <w:szCs w:val="20"/>
          <w:lang w:val="en-GB"/>
        </w:rPr>
        <w:t xml:space="preserve"> inaccuracies prior to publication, </w:t>
      </w:r>
      <w:r w:rsidR="0012552F" w:rsidRPr="0055225F">
        <w:rPr>
          <w:sz w:val="20"/>
          <w:szCs w:val="20"/>
          <w:lang w:val="en-GB"/>
        </w:rPr>
        <w:t>the entity will lose access to CLIR.</w:t>
      </w:r>
    </w:p>
    <w:p w14:paraId="003D4D3E" w14:textId="0621A2DA" w:rsidR="00000673" w:rsidRPr="001513A6" w:rsidRDefault="00D633B0" w:rsidP="001513A6">
      <w:pPr>
        <w:pStyle w:val="ListParagraph"/>
        <w:numPr>
          <w:ilvl w:val="2"/>
          <w:numId w:val="13"/>
        </w:numPr>
        <w:rPr>
          <w:sz w:val="20"/>
          <w:szCs w:val="20"/>
          <w:lang w:val="en-GB"/>
        </w:rPr>
      </w:pPr>
      <w:r w:rsidRPr="001513A6">
        <w:rPr>
          <w:sz w:val="20"/>
          <w:szCs w:val="20"/>
          <w:u w:val="single"/>
          <w:lang w:val="en-GB"/>
        </w:rPr>
        <w:t>C</w:t>
      </w:r>
      <w:r w:rsidR="0055225F" w:rsidRPr="001513A6">
        <w:rPr>
          <w:sz w:val="20"/>
          <w:szCs w:val="20"/>
          <w:u w:val="single"/>
          <w:lang w:val="en-GB"/>
        </w:rPr>
        <w:t>rediting</w:t>
      </w:r>
      <w:r w:rsidR="00220789" w:rsidRPr="001513A6">
        <w:rPr>
          <w:sz w:val="20"/>
          <w:szCs w:val="20"/>
          <w:u w:val="single"/>
          <w:lang w:val="en-GB"/>
        </w:rPr>
        <w:t xml:space="preserve"> CLIR</w:t>
      </w:r>
      <w:r w:rsidR="00251D25" w:rsidRPr="001513A6">
        <w:rPr>
          <w:sz w:val="20"/>
          <w:szCs w:val="20"/>
          <w:lang w:val="en-GB"/>
        </w:rPr>
        <w:t>. A submitter</w:t>
      </w:r>
      <w:r w:rsidR="00220789" w:rsidRPr="001513A6">
        <w:rPr>
          <w:sz w:val="20"/>
          <w:szCs w:val="20"/>
          <w:lang w:val="en-GB"/>
        </w:rPr>
        <w:t xml:space="preserve"> using CLIR to generate data or figures intended for publication in a peer reviewed journal agrees to credit </w:t>
      </w:r>
      <w:r w:rsidR="0012552F" w:rsidRPr="001513A6">
        <w:rPr>
          <w:sz w:val="20"/>
          <w:szCs w:val="20"/>
          <w:lang w:val="en-GB"/>
        </w:rPr>
        <w:t xml:space="preserve">the </w:t>
      </w:r>
      <w:r w:rsidR="00220789" w:rsidRPr="001513A6">
        <w:rPr>
          <w:sz w:val="20"/>
          <w:szCs w:val="20"/>
          <w:lang w:val="en-GB"/>
        </w:rPr>
        <w:t xml:space="preserve">CLIR </w:t>
      </w:r>
      <w:r w:rsidR="0012552F" w:rsidRPr="001513A6">
        <w:rPr>
          <w:sz w:val="20"/>
          <w:szCs w:val="20"/>
          <w:lang w:val="en-GB"/>
        </w:rPr>
        <w:t xml:space="preserve">application </w:t>
      </w:r>
      <w:r w:rsidR="00220789" w:rsidRPr="001513A6">
        <w:rPr>
          <w:sz w:val="20"/>
          <w:szCs w:val="20"/>
          <w:lang w:val="en-GB"/>
        </w:rPr>
        <w:t>as appropriate in the</w:t>
      </w:r>
      <w:r w:rsidR="00251D25" w:rsidRPr="001513A6">
        <w:rPr>
          <w:sz w:val="20"/>
          <w:szCs w:val="20"/>
          <w:lang w:val="en-GB"/>
        </w:rPr>
        <w:t xml:space="preserve"> submitter’s</w:t>
      </w:r>
      <w:r w:rsidR="00220789" w:rsidRPr="001513A6">
        <w:rPr>
          <w:sz w:val="20"/>
          <w:szCs w:val="20"/>
          <w:lang w:val="en-GB"/>
        </w:rPr>
        <w:t xml:space="preserve"> manuscript</w:t>
      </w:r>
      <w:r w:rsidR="00C40DC6" w:rsidRPr="001513A6">
        <w:rPr>
          <w:sz w:val="20"/>
          <w:szCs w:val="20"/>
          <w:lang w:val="en-GB"/>
        </w:rPr>
        <w:t xml:space="preserve"> and will not </w:t>
      </w:r>
      <w:r w:rsidR="00000673" w:rsidRPr="001513A6">
        <w:rPr>
          <w:sz w:val="20"/>
        </w:rPr>
        <w:t xml:space="preserve">use the CLIR trademark in any news release, publicity, advertising, endorsement, or commercial communication without the prior </w:t>
      </w:r>
      <w:r w:rsidR="00000673" w:rsidRPr="001513A6">
        <w:rPr>
          <w:sz w:val="20"/>
          <w:szCs w:val="20"/>
        </w:rPr>
        <w:t xml:space="preserve">written approval from </w:t>
      </w:r>
      <w:r w:rsidR="00924294">
        <w:rPr>
          <w:sz w:val="20"/>
          <w:szCs w:val="20"/>
        </w:rPr>
        <w:t xml:space="preserve">a </w:t>
      </w:r>
      <w:r w:rsidR="00000673" w:rsidRPr="001513A6">
        <w:rPr>
          <w:sz w:val="20"/>
          <w:szCs w:val="20"/>
        </w:rPr>
        <w:t xml:space="preserve">CLIR administrator.  </w:t>
      </w:r>
      <w:r w:rsidR="00DF7FB1" w:rsidRPr="001513A6">
        <w:rPr>
          <w:sz w:val="20"/>
          <w:szCs w:val="20"/>
        </w:rPr>
        <w:t>R</w:t>
      </w:r>
      <w:r w:rsidR="00000673" w:rsidRPr="001513A6">
        <w:rPr>
          <w:sz w:val="20"/>
          <w:szCs w:val="20"/>
        </w:rPr>
        <w:t xml:space="preserve">equests for approval </w:t>
      </w:r>
      <w:bookmarkStart w:id="0" w:name="_GoBack"/>
      <w:bookmarkEnd w:id="0"/>
      <w:r w:rsidR="00DF7FB1" w:rsidRPr="001513A6">
        <w:rPr>
          <w:sz w:val="20"/>
          <w:szCs w:val="20"/>
        </w:rPr>
        <w:t xml:space="preserve">should be </w:t>
      </w:r>
      <w:r w:rsidR="00000673" w:rsidRPr="001513A6">
        <w:rPr>
          <w:sz w:val="20"/>
          <w:szCs w:val="20"/>
        </w:rPr>
        <w:t>submitted</w:t>
      </w:r>
      <w:r w:rsidR="00DF7FB1" w:rsidRPr="001513A6">
        <w:rPr>
          <w:sz w:val="20"/>
          <w:szCs w:val="20"/>
        </w:rPr>
        <w:t xml:space="preserve"> at least 5 business days prior to the date on which a response is needed</w:t>
      </w:r>
      <w:r w:rsidR="00000673" w:rsidRPr="001513A6">
        <w:rPr>
          <w:sz w:val="20"/>
          <w:szCs w:val="20"/>
        </w:rPr>
        <w:t xml:space="preserve"> to the CLIR support </w:t>
      </w:r>
      <w:r w:rsidR="00DF7FB1" w:rsidRPr="001513A6">
        <w:rPr>
          <w:sz w:val="20"/>
          <w:szCs w:val="20"/>
        </w:rPr>
        <w:t>team</w:t>
      </w:r>
      <w:r w:rsidR="00000673" w:rsidRPr="001513A6">
        <w:rPr>
          <w:sz w:val="20"/>
          <w:szCs w:val="20"/>
        </w:rPr>
        <w:t xml:space="preserve">, at the following E-mail address: </w:t>
      </w:r>
      <w:hyperlink r:id="rId9" w:history="1">
        <w:r w:rsidR="001513A6" w:rsidRPr="001513A6">
          <w:rPr>
            <w:rStyle w:val="Hyperlink"/>
            <w:sz w:val="20"/>
            <w:szCs w:val="20"/>
          </w:rPr>
          <w:t>RSTCLIRSUPPORT@mayo.edu</w:t>
        </w:r>
      </w:hyperlink>
      <w:r w:rsidR="001513A6" w:rsidRPr="001513A6">
        <w:rPr>
          <w:sz w:val="20"/>
          <w:szCs w:val="20"/>
        </w:rPr>
        <w:t>.</w:t>
      </w:r>
    </w:p>
    <w:p w14:paraId="10033937" w14:textId="03600DAA" w:rsidR="0055225F" w:rsidRPr="00000673" w:rsidRDefault="00D910D6" w:rsidP="00000673">
      <w:pPr>
        <w:pStyle w:val="ListParagraph"/>
        <w:numPr>
          <w:ilvl w:val="2"/>
          <w:numId w:val="13"/>
        </w:numPr>
        <w:rPr>
          <w:sz w:val="20"/>
          <w:szCs w:val="20"/>
          <w:lang w:val="en-GB"/>
        </w:rPr>
      </w:pPr>
      <w:r w:rsidRPr="00561D2A">
        <w:rPr>
          <w:sz w:val="20"/>
          <w:szCs w:val="20"/>
          <w:u w:val="single"/>
        </w:rPr>
        <w:t>Crediting Receiving Entity</w:t>
      </w:r>
      <w:r w:rsidR="00000673">
        <w:rPr>
          <w:sz w:val="20"/>
          <w:szCs w:val="20"/>
        </w:rPr>
        <w:t xml:space="preserve">.  </w:t>
      </w:r>
      <w:r w:rsidR="0055225F" w:rsidRPr="00000673">
        <w:rPr>
          <w:sz w:val="20"/>
          <w:szCs w:val="20"/>
          <w:lang w:val="en-GB"/>
        </w:rPr>
        <w:t xml:space="preserve">The submitter </w:t>
      </w:r>
      <w:r w:rsidR="0055225F" w:rsidRPr="00000673">
        <w:rPr>
          <w:sz w:val="20"/>
        </w:rPr>
        <w:t xml:space="preserve">will not use the name or trademarks of the receiving entity in any news release, publicity, advertising, endorsement, or commercial communication without the prior </w:t>
      </w:r>
      <w:r w:rsidR="0055225F" w:rsidRPr="00000673">
        <w:rPr>
          <w:sz w:val="20"/>
          <w:szCs w:val="20"/>
        </w:rPr>
        <w:t xml:space="preserve">written approval of the receiving entity.  All requests for approval for the use of the receiving entity’s name pursuant to this section must be submitted to the receiving entity’s Public Affairs Business Relations Group, at the following E-mail address: </w:t>
      </w:r>
      <w:hyperlink r:id="rId10" w:history="1">
        <w:r w:rsidR="0055225F" w:rsidRPr="00000673">
          <w:rPr>
            <w:rStyle w:val="Hyperlink"/>
            <w:sz w:val="20"/>
            <w:szCs w:val="20"/>
          </w:rPr>
          <w:t>BusinessRelations@mayo.edu</w:t>
        </w:r>
      </w:hyperlink>
      <w:r w:rsidR="0055225F" w:rsidRPr="00000673">
        <w:rPr>
          <w:sz w:val="20"/>
          <w:szCs w:val="20"/>
        </w:rPr>
        <w:t xml:space="preserve"> at least 5 business days prior to the date on which a response is needed.</w:t>
      </w:r>
    </w:p>
    <w:p w14:paraId="0847C63D" w14:textId="77777777" w:rsidR="0055225F" w:rsidRPr="0055225F" w:rsidRDefault="0055225F" w:rsidP="0055225F">
      <w:pPr>
        <w:pStyle w:val="ListParagraph"/>
        <w:ind w:left="1800"/>
        <w:rPr>
          <w:sz w:val="20"/>
          <w:szCs w:val="20"/>
          <w:lang w:val="en-GB"/>
        </w:rPr>
      </w:pPr>
    </w:p>
    <w:p w14:paraId="663AD435" w14:textId="166B3140" w:rsidR="0055225F" w:rsidRPr="0055225F" w:rsidRDefault="0055225F" w:rsidP="0055225F">
      <w:pPr>
        <w:pStyle w:val="ListParagraph"/>
        <w:numPr>
          <w:ilvl w:val="1"/>
          <w:numId w:val="13"/>
        </w:numPr>
        <w:rPr>
          <w:sz w:val="20"/>
          <w:szCs w:val="20"/>
          <w:lang w:val="en-GB"/>
        </w:rPr>
      </w:pPr>
      <w:r w:rsidRPr="0055225F">
        <w:rPr>
          <w:sz w:val="20"/>
          <w:szCs w:val="20"/>
          <w:u w:val="single"/>
          <w:lang w:val="en-GB"/>
        </w:rPr>
        <w:t>Grant of Copyright</w:t>
      </w:r>
      <w:r w:rsidRPr="00D633B0">
        <w:rPr>
          <w:sz w:val="20"/>
          <w:szCs w:val="20"/>
          <w:lang w:val="en-GB"/>
        </w:rPr>
        <w:t xml:space="preserve">. </w:t>
      </w:r>
      <w:r w:rsidR="00D633B0">
        <w:rPr>
          <w:sz w:val="20"/>
          <w:szCs w:val="20"/>
          <w:lang w:val="en-GB"/>
        </w:rPr>
        <w:t>The s</w:t>
      </w:r>
      <w:r w:rsidRPr="00D633B0">
        <w:rPr>
          <w:sz w:val="20"/>
          <w:szCs w:val="20"/>
          <w:lang w:val="en-GB"/>
        </w:rPr>
        <w:t xml:space="preserve">ubmitting </w:t>
      </w:r>
      <w:r w:rsidR="00D633B0">
        <w:rPr>
          <w:sz w:val="20"/>
          <w:szCs w:val="20"/>
          <w:lang w:val="en-GB"/>
        </w:rPr>
        <w:t>e</w:t>
      </w:r>
      <w:r w:rsidRPr="00D633B0">
        <w:rPr>
          <w:sz w:val="20"/>
          <w:szCs w:val="20"/>
          <w:lang w:val="en-GB"/>
        </w:rPr>
        <w:t xml:space="preserve">ntity hereby grants </w:t>
      </w:r>
      <w:r w:rsidR="00D633B0">
        <w:rPr>
          <w:sz w:val="20"/>
          <w:szCs w:val="20"/>
          <w:lang w:val="en-GB"/>
        </w:rPr>
        <w:t xml:space="preserve">the receiving entity and all other submitting entities </w:t>
      </w:r>
      <w:r w:rsidRPr="00D633B0">
        <w:rPr>
          <w:sz w:val="20"/>
          <w:szCs w:val="20"/>
          <w:lang w:val="en-GB"/>
        </w:rPr>
        <w:t xml:space="preserve">the right to use any </w:t>
      </w:r>
      <w:r w:rsidR="00D633B0">
        <w:rPr>
          <w:sz w:val="20"/>
          <w:szCs w:val="20"/>
          <w:lang w:val="en-GB"/>
        </w:rPr>
        <w:t>s</w:t>
      </w:r>
      <w:r w:rsidRPr="00D633B0">
        <w:rPr>
          <w:sz w:val="20"/>
          <w:szCs w:val="20"/>
          <w:lang w:val="en-GB"/>
        </w:rPr>
        <w:t xml:space="preserve">ubmitting </w:t>
      </w:r>
      <w:r w:rsidR="00D633B0">
        <w:rPr>
          <w:sz w:val="20"/>
          <w:szCs w:val="20"/>
          <w:lang w:val="en-GB"/>
        </w:rPr>
        <w:t>e</w:t>
      </w:r>
      <w:r w:rsidRPr="00D633B0">
        <w:rPr>
          <w:sz w:val="20"/>
          <w:szCs w:val="20"/>
          <w:lang w:val="en-GB"/>
        </w:rPr>
        <w:t xml:space="preserve">ntity </w:t>
      </w:r>
      <w:r w:rsidR="00D633B0">
        <w:rPr>
          <w:sz w:val="20"/>
          <w:szCs w:val="20"/>
          <w:lang w:val="en-GB"/>
        </w:rPr>
        <w:t>d</w:t>
      </w:r>
      <w:r w:rsidRPr="00D633B0">
        <w:rPr>
          <w:sz w:val="20"/>
          <w:szCs w:val="20"/>
          <w:lang w:val="en-GB"/>
        </w:rPr>
        <w:t xml:space="preserve">ata in the CLIR software as described in this </w:t>
      </w:r>
      <w:r w:rsidR="00D633B0">
        <w:rPr>
          <w:sz w:val="20"/>
          <w:szCs w:val="20"/>
          <w:lang w:val="en-GB"/>
        </w:rPr>
        <w:t>a</w:t>
      </w:r>
      <w:r w:rsidRPr="00D633B0">
        <w:rPr>
          <w:sz w:val="20"/>
          <w:szCs w:val="20"/>
          <w:lang w:val="en-GB"/>
        </w:rPr>
        <w:t>greement</w:t>
      </w:r>
      <w:r w:rsidRPr="0055225F">
        <w:rPr>
          <w:sz w:val="20"/>
          <w:szCs w:val="20"/>
          <w:u w:val="single"/>
          <w:lang w:val="en-GB"/>
        </w:rPr>
        <w:t xml:space="preserve">. </w:t>
      </w:r>
    </w:p>
    <w:p w14:paraId="0866AE56" w14:textId="77777777" w:rsidR="0055225F" w:rsidRPr="005C1850" w:rsidRDefault="0055225F" w:rsidP="00990978">
      <w:pPr>
        <w:pStyle w:val="ListParagraph"/>
        <w:ind w:left="1800"/>
        <w:rPr>
          <w:sz w:val="20"/>
          <w:szCs w:val="20"/>
          <w:u w:val="single"/>
          <w:lang w:val="en-GB"/>
        </w:rPr>
      </w:pPr>
    </w:p>
    <w:p w14:paraId="40C63D29" w14:textId="77777777" w:rsidR="001C1BF2" w:rsidRDefault="001C1BF2" w:rsidP="001C1BF2">
      <w:pPr>
        <w:pStyle w:val="ListParagraph"/>
        <w:ind w:left="360"/>
        <w:rPr>
          <w:b/>
          <w:sz w:val="20"/>
          <w:szCs w:val="20"/>
          <w:lang w:val="en-GB"/>
        </w:rPr>
      </w:pPr>
    </w:p>
    <w:p w14:paraId="7A61232A" w14:textId="294FAF74" w:rsidR="00614184" w:rsidRDefault="00614184" w:rsidP="00614184">
      <w:pPr>
        <w:pStyle w:val="ListParagraph"/>
        <w:numPr>
          <w:ilvl w:val="0"/>
          <w:numId w:val="19"/>
        </w:numPr>
        <w:rPr>
          <w:b/>
          <w:sz w:val="20"/>
          <w:szCs w:val="20"/>
          <w:lang w:val="en-GB"/>
        </w:rPr>
      </w:pPr>
      <w:r>
        <w:rPr>
          <w:b/>
          <w:sz w:val="20"/>
          <w:szCs w:val="20"/>
          <w:lang w:val="en-GB"/>
        </w:rPr>
        <w:t xml:space="preserve">DATA RECIPIENT / HOST ROLES &amp; RESPONSIBILITIES </w:t>
      </w:r>
    </w:p>
    <w:p w14:paraId="7EAF1D84" w14:textId="77777777" w:rsidR="007B4036" w:rsidRDefault="007B4036" w:rsidP="007B4036">
      <w:pPr>
        <w:pStyle w:val="ListParagraph"/>
        <w:ind w:left="360"/>
        <w:rPr>
          <w:w w:val="105"/>
          <w:sz w:val="20"/>
          <w:szCs w:val="20"/>
          <w:lang w:val="en-GB"/>
        </w:rPr>
      </w:pPr>
    </w:p>
    <w:p w14:paraId="2A712A1D" w14:textId="1FE034FB" w:rsidR="00354B2C" w:rsidRDefault="00354B2C" w:rsidP="00354B2C">
      <w:pPr>
        <w:pStyle w:val="ListParagraph"/>
        <w:ind w:left="360"/>
        <w:rPr>
          <w:rFonts w:ascii="Calibri" w:eastAsia="Calibri" w:hAnsi="Calibri" w:cs="Calibri"/>
          <w:sz w:val="20"/>
          <w:szCs w:val="20"/>
        </w:rPr>
      </w:pPr>
      <w:r>
        <w:rPr>
          <w:w w:val="105"/>
          <w:sz w:val="20"/>
          <w:szCs w:val="20"/>
          <w:lang w:val="en-GB"/>
        </w:rPr>
        <w:t xml:space="preserve">The data recipient </w:t>
      </w:r>
      <w:r w:rsidRPr="00354978">
        <w:rPr>
          <w:rFonts w:ascii="Calibri" w:eastAsia="Calibri" w:hAnsi="Calibri" w:cs="Calibri"/>
          <w:sz w:val="20"/>
          <w:szCs w:val="20"/>
        </w:rPr>
        <w:t>retains all right, title and interest in</w:t>
      </w:r>
      <w:r>
        <w:rPr>
          <w:rFonts w:ascii="Calibri" w:eastAsia="Calibri" w:hAnsi="Calibri" w:cs="Calibri"/>
          <w:sz w:val="20"/>
          <w:szCs w:val="20"/>
        </w:rPr>
        <w:t xml:space="preserve"> </w:t>
      </w:r>
      <w:r w:rsidRPr="00354978">
        <w:rPr>
          <w:rFonts w:ascii="Calibri" w:eastAsia="Calibri" w:hAnsi="Calibri" w:cs="Calibri"/>
          <w:sz w:val="20"/>
          <w:szCs w:val="20"/>
        </w:rPr>
        <w:t xml:space="preserve">the </w:t>
      </w:r>
      <w:r>
        <w:rPr>
          <w:rFonts w:ascii="Calibri" w:eastAsia="Calibri" w:hAnsi="Calibri" w:cs="Calibri"/>
          <w:sz w:val="20"/>
          <w:szCs w:val="20"/>
        </w:rPr>
        <w:t xml:space="preserve">CLIR software and all related intellectual property relating to operating CLIR both prior to the effective date of this agreement or conceived and/or reduced to practice, fixed in any tangible medium of expression, or created during the term, including </w:t>
      </w:r>
      <w:r w:rsidRPr="00354978">
        <w:rPr>
          <w:rFonts w:ascii="Calibri" w:eastAsia="Calibri" w:hAnsi="Calibri" w:cs="Calibri"/>
          <w:sz w:val="20"/>
          <w:szCs w:val="20"/>
        </w:rPr>
        <w:t>all improvements</w:t>
      </w:r>
      <w:r>
        <w:rPr>
          <w:rFonts w:ascii="Calibri" w:eastAsia="Calibri" w:hAnsi="Calibri" w:cs="Calibri"/>
          <w:sz w:val="20"/>
          <w:szCs w:val="20"/>
        </w:rPr>
        <w:t>,</w:t>
      </w:r>
      <w:r w:rsidRPr="00354978">
        <w:rPr>
          <w:rFonts w:ascii="Calibri" w:eastAsia="Calibri" w:hAnsi="Calibri" w:cs="Calibri"/>
          <w:sz w:val="20"/>
          <w:szCs w:val="20"/>
        </w:rPr>
        <w:t xml:space="preserve"> </w:t>
      </w:r>
      <w:r>
        <w:rPr>
          <w:rFonts w:ascii="Calibri" w:eastAsia="Calibri" w:hAnsi="Calibri" w:cs="Calibri"/>
          <w:sz w:val="20"/>
          <w:szCs w:val="20"/>
        </w:rPr>
        <w:t>modifications, and</w:t>
      </w:r>
      <w:r w:rsidRPr="00354978">
        <w:rPr>
          <w:rFonts w:ascii="Calibri" w:eastAsia="Calibri" w:hAnsi="Calibri" w:cs="Calibri"/>
          <w:sz w:val="20"/>
          <w:szCs w:val="20"/>
        </w:rPr>
        <w:t xml:space="preserve"> derivative work</w:t>
      </w:r>
      <w:r>
        <w:rPr>
          <w:rFonts w:ascii="Calibri" w:eastAsia="Calibri" w:hAnsi="Calibri" w:cs="Calibri"/>
          <w:sz w:val="20"/>
          <w:szCs w:val="20"/>
        </w:rPr>
        <w:t>. Nothing in this agreement shall be construed as granting any rights to the CLIR software to submitting entities.</w:t>
      </w:r>
    </w:p>
    <w:p w14:paraId="40D79B64" w14:textId="77777777" w:rsidR="00354B2C" w:rsidRDefault="00354B2C" w:rsidP="0059613A">
      <w:pPr>
        <w:pStyle w:val="ListParagraph"/>
        <w:ind w:left="360"/>
        <w:rPr>
          <w:w w:val="105"/>
          <w:sz w:val="20"/>
          <w:szCs w:val="20"/>
          <w:lang w:val="en-GB"/>
        </w:rPr>
      </w:pPr>
    </w:p>
    <w:p w14:paraId="77CF6B30" w14:textId="6BA92324" w:rsidR="007B4036" w:rsidRDefault="007B4036" w:rsidP="0059613A">
      <w:pPr>
        <w:pStyle w:val="ListParagraph"/>
        <w:ind w:left="360"/>
        <w:rPr>
          <w:b/>
          <w:i/>
          <w:color w:val="FF0000"/>
          <w:w w:val="105"/>
          <w:sz w:val="20"/>
          <w:szCs w:val="20"/>
          <w:lang w:val="en-GB"/>
        </w:rPr>
      </w:pPr>
      <w:r w:rsidRPr="007B4036">
        <w:rPr>
          <w:w w:val="105"/>
          <w:sz w:val="20"/>
          <w:szCs w:val="20"/>
          <w:lang w:val="en-GB"/>
        </w:rPr>
        <w:t xml:space="preserve">The data </w:t>
      </w:r>
      <w:r>
        <w:rPr>
          <w:w w:val="105"/>
          <w:sz w:val="20"/>
          <w:szCs w:val="20"/>
          <w:lang w:val="en-GB"/>
        </w:rPr>
        <w:t xml:space="preserve">recipient and hosting entity </w:t>
      </w:r>
      <w:r w:rsidRPr="007B4036">
        <w:rPr>
          <w:w w:val="105"/>
          <w:sz w:val="20"/>
          <w:szCs w:val="20"/>
          <w:lang w:val="en-GB"/>
        </w:rPr>
        <w:t>will abide by the following requirements:</w:t>
      </w:r>
      <w:r>
        <w:rPr>
          <w:w w:val="105"/>
          <w:sz w:val="20"/>
          <w:szCs w:val="20"/>
          <w:lang w:val="en-GB"/>
        </w:rPr>
        <w:t xml:space="preserve"> </w:t>
      </w:r>
    </w:p>
    <w:p w14:paraId="766BD9C8" w14:textId="77777777" w:rsidR="0059613A" w:rsidRPr="0059613A" w:rsidRDefault="0059613A" w:rsidP="0059613A">
      <w:pPr>
        <w:pStyle w:val="ListParagraph"/>
        <w:ind w:left="360"/>
        <w:rPr>
          <w:b/>
          <w:i/>
          <w:sz w:val="20"/>
          <w:szCs w:val="20"/>
          <w:lang w:val="en-GB"/>
        </w:rPr>
      </w:pPr>
    </w:p>
    <w:p w14:paraId="0EC02734" w14:textId="10A9D367" w:rsidR="0059613A" w:rsidRPr="0059613A" w:rsidRDefault="007B4036" w:rsidP="0059613A">
      <w:pPr>
        <w:pStyle w:val="ListParagraph"/>
        <w:numPr>
          <w:ilvl w:val="0"/>
          <w:numId w:val="21"/>
        </w:numPr>
        <w:rPr>
          <w:sz w:val="20"/>
          <w:szCs w:val="20"/>
          <w:lang w:val="en-GB"/>
        </w:rPr>
      </w:pPr>
      <w:r>
        <w:rPr>
          <w:w w:val="105"/>
          <w:sz w:val="20"/>
          <w:szCs w:val="20"/>
          <w:u w:val="single"/>
          <w:lang w:val="en-GB"/>
        </w:rPr>
        <w:t xml:space="preserve">Data </w:t>
      </w:r>
      <w:r w:rsidR="0000632B" w:rsidRPr="007B4036">
        <w:rPr>
          <w:w w:val="105"/>
          <w:sz w:val="20"/>
          <w:szCs w:val="20"/>
          <w:u w:val="single"/>
          <w:lang w:val="en-GB"/>
        </w:rPr>
        <w:t>Commitments.</w:t>
      </w:r>
      <w:r w:rsidR="0000632B" w:rsidRPr="007B4036">
        <w:rPr>
          <w:w w:val="105"/>
          <w:sz w:val="20"/>
          <w:szCs w:val="20"/>
          <w:lang w:val="en-GB"/>
        </w:rPr>
        <w:t xml:space="preserve"> Data submitted to </w:t>
      </w:r>
      <w:r w:rsidR="00D11EE2" w:rsidRPr="007B4036">
        <w:rPr>
          <w:w w:val="105"/>
          <w:sz w:val="20"/>
          <w:szCs w:val="20"/>
          <w:lang w:val="en-GB"/>
        </w:rPr>
        <w:t xml:space="preserve">CLIR </w:t>
      </w:r>
      <w:r w:rsidR="0000632B" w:rsidRPr="007B4036">
        <w:rPr>
          <w:w w:val="105"/>
          <w:sz w:val="20"/>
          <w:szCs w:val="20"/>
          <w:lang w:val="en-GB"/>
        </w:rPr>
        <w:t>will be handled in accordance with the following precepts:</w:t>
      </w:r>
    </w:p>
    <w:p w14:paraId="5E1FD728" w14:textId="77777777" w:rsidR="0059613A" w:rsidRPr="0059613A" w:rsidRDefault="0059613A" w:rsidP="0059613A">
      <w:pPr>
        <w:pStyle w:val="ListParagraph"/>
        <w:ind w:left="1080"/>
        <w:rPr>
          <w:sz w:val="20"/>
          <w:szCs w:val="20"/>
          <w:lang w:val="en-GB"/>
        </w:rPr>
      </w:pPr>
    </w:p>
    <w:p w14:paraId="363FCA95" w14:textId="743B3262" w:rsidR="0059613A" w:rsidRPr="0059613A" w:rsidRDefault="007B4036" w:rsidP="0059613A">
      <w:pPr>
        <w:pStyle w:val="ListParagraph"/>
        <w:numPr>
          <w:ilvl w:val="0"/>
          <w:numId w:val="22"/>
        </w:numPr>
        <w:rPr>
          <w:sz w:val="20"/>
          <w:szCs w:val="20"/>
          <w:lang w:val="en-GB"/>
        </w:rPr>
      </w:pPr>
      <w:r w:rsidRPr="0059613A">
        <w:rPr>
          <w:w w:val="105"/>
          <w:sz w:val="20"/>
          <w:szCs w:val="20"/>
          <w:u w:val="single"/>
          <w:lang w:val="en-GB"/>
        </w:rPr>
        <w:t>Data Processing.</w:t>
      </w:r>
      <w:r w:rsidRPr="0059613A">
        <w:rPr>
          <w:w w:val="105"/>
          <w:sz w:val="20"/>
          <w:szCs w:val="20"/>
          <w:lang w:val="en-GB"/>
        </w:rPr>
        <w:t xml:space="preserve"> Anonymized</w:t>
      </w:r>
      <w:r w:rsidRPr="0059613A">
        <w:rPr>
          <w:rFonts w:eastAsia="Times New Roman" w:cstheme="minorHAnsi"/>
          <w:sz w:val="20"/>
          <w:szCs w:val="20"/>
        </w:rPr>
        <w:t xml:space="preserve"> </w:t>
      </w:r>
      <w:r w:rsidRPr="0059613A">
        <w:rPr>
          <w:w w:val="105"/>
          <w:sz w:val="20"/>
          <w:szCs w:val="20"/>
          <w:lang w:val="en-GB"/>
        </w:rPr>
        <w:t>data submitted to CLIR will be processed in accordance with local, state, and federal laws applicable to the receiving entity.</w:t>
      </w:r>
    </w:p>
    <w:p w14:paraId="4462F9D2" w14:textId="26420E63" w:rsidR="0059613A" w:rsidRPr="0059613A" w:rsidRDefault="007B4036" w:rsidP="0059613A">
      <w:pPr>
        <w:pStyle w:val="ListParagraph"/>
        <w:numPr>
          <w:ilvl w:val="0"/>
          <w:numId w:val="22"/>
        </w:numPr>
        <w:rPr>
          <w:sz w:val="20"/>
          <w:szCs w:val="20"/>
          <w:lang w:val="en-GB"/>
        </w:rPr>
      </w:pPr>
      <w:r w:rsidRPr="0059613A">
        <w:rPr>
          <w:w w:val="105"/>
          <w:sz w:val="20"/>
          <w:szCs w:val="20"/>
          <w:u w:val="single"/>
          <w:lang w:val="en-GB"/>
        </w:rPr>
        <w:lastRenderedPageBreak/>
        <w:t xml:space="preserve">Data </w:t>
      </w:r>
      <w:r w:rsidR="0000632B" w:rsidRPr="0059613A">
        <w:rPr>
          <w:w w:val="105"/>
          <w:sz w:val="20"/>
          <w:szCs w:val="20"/>
          <w:u w:val="single"/>
          <w:lang w:val="en-GB"/>
        </w:rPr>
        <w:t>Storage.</w:t>
      </w:r>
      <w:r w:rsidR="0000632B" w:rsidRPr="0059613A">
        <w:rPr>
          <w:w w:val="105"/>
          <w:sz w:val="20"/>
          <w:szCs w:val="20"/>
          <w:lang w:val="en-GB"/>
        </w:rPr>
        <w:t xml:space="preserve"> </w:t>
      </w:r>
      <w:r w:rsidR="008E08DA" w:rsidRPr="0059613A">
        <w:rPr>
          <w:w w:val="105"/>
          <w:sz w:val="20"/>
          <w:szCs w:val="20"/>
          <w:lang w:val="en-GB"/>
        </w:rPr>
        <w:t>The anonymized</w:t>
      </w:r>
      <w:r w:rsidR="00352CA1" w:rsidRPr="0059613A">
        <w:rPr>
          <w:rFonts w:eastAsia="Times New Roman" w:cstheme="minorHAnsi"/>
          <w:sz w:val="20"/>
          <w:szCs w:val="20"/>
        </w:rPr>
        <w:t xml:space="preserve"> </w:t>
      </w:r>
      <w:r w:rsidR="00352CA1" w:rsidRPr="0059613A">
        <w:rPr>
          <w:w w:val="105"/>
          <w:sz w:val="20"/>
          <w:szCs w:val="20"/>
          <w:lang w:val="en-GB"/>
        </w:rPr>
        <w:t>data</w:t>
      </w:r>
      <w:r w:rsidR="0000632B" w:rsidRPr="0059613A">
        <w:rPr>
          <w:w w:val="105"/>
          <w:sz w:val="20"/>
          <w:szCs w:val="20"/>
          <w:lang w:val="en-GB"/>
        </w:rPr>
        <w:t xml:space="preserve"> submitted to </w:t>
      </w:r>
      <w:r w:rsidR="00D11EE2" w:rsidRPr="0059613A">
        <w:rPr>
          <w:w w:val="105"/>
          <w:sz w:val="20"/>
          <w:szCs w:val="20"/>
          <w:lang w:val="en-GB"/>
        </w:rPr>
        <w:t xml:space="preserve">CLIR </w:t>
      </w:r>
      <w:r w:rsidR="0000632B" w:rsidRPr="0059613A">
        <w:rPr>
          <w:w w:val="105"/>
          <w:sz w:val="20"/>
          <w:szCs w:val="20"/>
          <w:lang w:val="en-GB"/>
        </w:rPr>
        <w:t xml:space="preserve">will be </w:t>
      </w:r>
      <w:r w:rsidR="00352CA1" w:rsidRPr="0059613A">
        <w:rPr>
          <w:w w:val="105"/>
          <w:sz w:val="20"/>
          <w:szCs w:val="20"/>
          <w:lang w:val="en-GB"/>
        </w:rPr>
        <w:t xml:space="preserve">stored in accordance with local, state, and federal laws applicable to </w:t>
      </w:r>
      <w:r w:rsidR="008E08DA" w:rsidRPr="0059613A">
        <w:rPr>
          <w:w w:val="105"/>
          <w:sz w:val="20"/>
          <w:szCs w:val="20"/>
          <w:lang w:val="en-GB"/>
        </w:rPr>
        <w:t>the hosting entity</w:t>
      </w:r>
      <w:r w:rsidR="00352CA1" w:rsidRPr="0059613A">
        <w:rPr>
          <w:w w:val="105"/>
          <w:sz w:val="20"/>
          <w:szCs w:val="20"/>
          <w:lang w:val="en-GB"/>
        </w:rPr>
        <w:t>.</w:t>
      </w:r>
      <w:r w:rsidR="00F843C6" w:rsidRPr="0059613A">
        <w:rPr>
          <w:w w:val="105"/>
          <w:sz w:val="20"/>
          <w:szCs w:val="20"/>
          <w:lang w:val="en-GB"/>
        </w:rPr>
        <w:t xml:space="preserve">  </w:t>
      </w:r>
    </w:p>
    <w:p w14:paraId="56E78DF3" w14:textId="3E485D26" w:rsidR="0059613A" w:rsidRPr="0059613A" w:rsidRDefault="00411119" w:rsidP="0059613A">
      <w:pPr>
        <w:pStyle w:val="ListParagraph"/>
        <w:numPr>
          <w:ilvl w:val="0"/>
          <w:numId w:val="22"/>
        </w:numPr>
        <w:rPr>
          <w:sz w:val="20"/>
          <w:szCs w:val="20"/>
          <w:lang w:val="en-GB"/>
        </w:rPr>
      </w:pPr>
      <w:r w:rsidRPr="0059613A">
        <w:rPr>
          <w:w w:val="105"/>
          <w:sz w:val="20"/>
          <w:szCs w:val="20"/>
          <w:u w:val="single"/>
          <w:lang w:val="en-GB"/>
        </w:rPr>
        <w:t>Data Protection.</w:t>
      </w:r>
      <w:r w:rsidRPr="0059613A">
        <w:rPr>
          <w:w w:val="105"/>
          <w:sz w:val="20"/>
          <w:szCs w:val="20"/>
          <w:lang w:val="en-GB"/>
        </w:rPr>
        <w:t xml:space="preserve"> </w:t>
      </w:r>
      <w:r w:rsidR="008E08DA" w:rsidRPr="0059613A">
        <w:rPr>
          <w:w w:val="105"/>
          <w:sz w:val="20"/>
          <w:szCs w:val="20"/>
          <w:lang w:val="en-GB"/>
        </w:rPr>
        <w:t>The hosting entity</w:t>
      </w:r>
      <w:r w:rsidRPr="0059613A">
        <w:rPr>
          <w:w w:val="105"/>
          <w:sz w:val="20"/>
          <w:szCs w:val="20"/>
          <w:lang w:val="en-GB"/>
        </w:rPr>
        <w:t xml:space="preserve"> will execute appropriate institutionally-approved security policies to protect the </w:t>
      </w:r>
      <w:r w:rsidR="00F843C6" w:rsidRPr="0059613A">
        <w:rPr>
          <w:rFonts w:eastAsia="Times New Roman" w:cstheme="minorHAnsi"/>
          <w:sz w:val="20"/>
          <w:szCs w:val="20"/>
        </w:rPr>
        <w:t xml:space="preserve">submitted </w:t>
      </w:r>
      <w:r w:rsidRPr="0059613A">
        <w:rPr>
          <w:w w:val="105"/>
          <w:sz w:val="20"/>
          <w:szCs w:val="20"/>
          <w:lang w:val="en-GB"/>
        </w:rPr>
        <w:t>data against loss, destruction, alteration, &amp; unauthorized access with a level consistent with other applications of the same class/tier.</w:t>
      </w:r>
    </w:p>
    <w:p w14:paraId="7529B04D" w14:textId="132226E2" w:rsidR="0059613A" w:rsidRPr="0059613A" w:rsidRDefault="00265810" w:rsidP="0059613A">
      <w:pPr>
        <w:pStyle w:val="ListParagraph"/>
        <w:numPr>
          <w:ilvl w:val="0"/>
          <w:numId w:val="22"/>
        </w:numPr>
        <w:rPr>
          <w:sz w:val="20"/>
          <w:szCs w:val="20"/>
          <w:lang w:val="en-GB"/>
        </w:rPr>
      </w:pPr>
      <w:r w:rsidRPr="0059613A">
        <w:rPr>
          <w:sz w:val="20"/>
          <w:szCs w:val="20"/>
          <w:u w:val="single"/>
          <w:lang w:val="en-GB"/>
        </w:rPr>
        <w:t>Data Access.</w:t>
      </w:r>
      <w:r w:rsidRPr="0059613A">
        <w:rPr>
          <w:sz w:val="20"/>
          <w:szCs w:val="20"/>
          <w:lang w:val="en-GB"/>
        </w:rPr>
        <w:t xml:space="preserve"> </w:t>
      </w:r>
      <w:r w:rsidR="005B58F3" w:rsidRPr="0059613A">
        <w:rPr>
          <w:w w:val="105"/>
          <w:sz w:val="20"/>
          <w:szCs w:val="20"/>
          <w:lang w:val="en-GB"/>
        </w:rPr>
        <w:t xml:space="preserve">To maintain the </w:t>
      </w:r>
      <w:r w:rsidR="005B58F3" w:rsidRPr="0059613A">
        <w:rPr>
          <w:sz w:val="20"/>
          <w:szCs w:val="20"/>
          <w:lang w:val="en-GB"/>
        </w:rPr>
        <w:t xml:space="preserve">confidentiality and security of the data, </w:t>
      </w:r>
      <w:r w:rsidR="007B4036" w:rsidRPr="0059613A">
        <w:rPr>
          <w:sz w:val="20"/>
          <w:szCs w:val="20"/>
          <w:lang w:val="en-GB"/>
        </w:rPr>
        <w:t xml:space="preserve">the receiving entity </w:t>
      </w:r>
      <w:r w:rsidR="005A5C73" w:rsidRPr="0059613A">
        <w:rPr>
          <w:sz w:val="20"/>
          <w:szCs w:val="20"/>
          <w:lang w:val="en-GB"/>
        </w:rPr>
        <w:t xml:space="preserve">will </w:t>
      </w:r>
      <w:r w:rsidR="006D0755">
        <w:rPr>
          <w:sz w:val="20"/>
          <w:szCs w:val="20"/>
          <w:lang w:val="en-GB"/>
        </w:rPr>
        <w:t xml:space="preserve">provide access to CLIR applications </w:t>
      </w:r>
      <w:r w:rsidR="007B4036" w:rsidRPr="0059613A">
        <w:rPr>
          <w:sz w:val="20"/>
          <w:szCs w:val="20"/>
          <w:lang w:val="en-GB"/>
        </w:rPr>
        <w:t xml:space="preserve">only </w:t>
      </w:r>
      <w:r w:rsidR="0012552F" w:rsidRPr="0059613A">
        <w:rPr>
          <w:sz w:val="20"/>
          <w:szCs w:val="20"/>
          <w:lang w:val="en-GB"/>
        </w:rPr>
        <w:t xml:space="preserve">after receiving </w:t>
      </w:r>
      <w:r w:rsidR="00DB16C8" w:rsidRPr="0059613A">
        <w:rPr>
          <w:sz w:val="20"/>
          <w:szCs w:val="20"/>
          <w:lang w:val="en-GB"/>
        </w:rPr>
        <w:t xml:space="preserve">written approval </w:t>
      </w:r>
      <w:r w:rsidR="0012552F" w:rsidRPr="0059613A">
        <w:rPr>
          <w:sz w:val="20"/>
          <w:szCs w:val="20"/>
          <w:lang w:val="en-GB"/>
        </w:rPr>
        <w:t xml:space="preserve">by the submitting </w:t>
      </w:r>
      <w:r w:rsidR="00456AB6" w:rsidRPr="0059613A">
        <w:rPr>
          <w:sz w:val="20"/>
          <w:szCs w:val="20"/>
          <w:lang w:val="en-GB"/>
        </w:rPr>
        <w:t>e</w:t>
      </w:r>
      <w:r w:rsidR="0012552F" w:rsidRPr="0059613A">
        <w:rPr>
          <w:sz w:val="20"/>
          <w:szCs w:val="20"/>
          <w:lang w:val="en-GB"/>
        </w:rPr>
        <w:t>ntity</w:t>
      </w:r>
      <w:r w:rsidR="00456AB6" w:rsidRPr="0059613A">
        <w:rPr>
          <w:sz w:val="20"/>
          <w:szCs w:val="20"/>
          <w:lang w:val="en-GB"/>
        </w:rPr>
        <w:t>’s designated access approver</w:t>
      </w:r>
      <w:r w:rsidR="0012552F" w:rsidRPr="0059613A">
        <w:rPr>
          <w:sz w:val="20"/>
          <w:szCs w:val="20"/>
          <w:lang w:val="en-GB"/>
        </w:rPr>
        <w:t>.</w:t>
      </w:r>
    </w:p>
    <w:p w14:paraId="6B653FB8" w14:textId="5AD9EB6E" w:rsidR="00265810" w:rsidRPr="0059613A" w:rsidRDefault="00265810" w:rsidP="0059613A">
      <w:pPr>
        <w:pStyle w:val="ListParagraph"/>
        <w:numPr>
          <w:ilvl w:val="0"/>
          <w:numId w:val="22"/>
        </w:numPr>
        <w:rPr>
          <w:sz w:val="20"/>
          <w:szCs w:val="20"/>
          <w:lang w:val="en-GB"/>
        </w:rPr>
      </w:pPr>
      <w:r w:rsidRPr="0059613A">
        <w:rPr>
          <w:sz w:val="20"/>
          <w:szCs w:val="20"/>
          <w:u w:val="single"/>
          <w:lang w:val="en-GB"/>
        </w:rPr>
        <w:t>Data Transfer.</w:t>
      </w:r>
      <w:r w:rsidRPr="0059613A">
        <w:rPr>
          <w:sz w:val="20"/>
          <w:szCs w:val="20"/>
          <w:lang w:val="en-GB"/>
        </w:rPr>
        <w:t xml:space="preserve"> </w:t>
      </w:r>
      <w:r w:rsidR="009B1883" w:rsidRPr="0059613A">
        <w:rPr>
          <w:sz w:val="20"/>
          <w:szCs w:val="20"/>
          <w:lang w:val="en-GB"/>
        </w:rPr>
        <w:t>Mayo Clinic</w:t>
      </w:r>
      <w:r w:rsidRPr="0059613A">
        <w:rPr>
          <w:sz w:val="20"/>
          <w:szCs w:val="20"/>
          <w:lang w:val="en-GB"/>
        </w:rPr>
        <w:t xml:space="preserve"> will not disclose or transfer </w:t>
      </w:r>
      <w:r w:rsidR="007B4036" w:rsidRPr="0059613A">
        <w:rPr>
          <w:sz w:val="20"/>
          <w:szCs w:val="20"/>
          <w:lang w:val="en-GB"/>
        </w:rPr>
        <w:t xml:space="preserve">submitted </w:t>
      </w:r>
      <w:r w:rsidRPr="0059613A">
        <w:rPr>
          <w:sz w:val="20"/>
          <w:szCs w:val="20"/>
          <w:lang w:val="en-GB"/>
        </w:rPr>
        <w:t xml:space="preserve">data to third parties without the explicit approval from the </w:t>
      </w:r>
      <w:r w:rsidR="0059613A" w:rsidRPr="0059613A">
        <w:rPr>
          <w:sz w:val="20"/>
          <w:szCs w:val="20"/>
          <w:lang w:val="en-GB"/>
        </w:rPr>
        <w:t>submitting entity’s designated access approver</w:t>
      </w:r>
      <w:r w:rsidRPr="0059613A">
        <w:rPr>
          <w:sz w:val="20"/>
          <w:szCs w:val="20"/>
          <w:lang w:val="en-GB"/>
        </w:rPr>
        <w:t>.</w:t>
      </w:r>
    </w:p>
    <w:p w14:paraId="3F30EE8A" w14:textId="77777777" w:rsidR="0059613A" w:rsidRPr="0059613A" w:rsidRDefault="0059613A" w:rsidP="0059613A">
      <w:pPr>
        <w:pStyle w:val="ListParagraph"/>
        <w:ind w:left="1080"/>
        <w:rPr>
          <w:sz w:val="20"/>
          <w:szCs w:val="20"/>
          <w:lang w:val="en-GB"/>
        </w:rPr>
      </w:pPr>
    </w:p>
    <w:p w14:paraId="3AED3662" w14:textId="46BCD954" w:rsidR="00265810" w:rsidRPr="0059613A" w:rsidRDefault="0059613A" w:rsidP="0059613A">
      <w:pPr>
        <w:pStyle w:val="ListParagraph"/>
        <w:numPr>
          <w:ilvl w:val="0"/>
          <w:numId w:val="21"/>
        </w:numPr>
        <w:rPr>
          <w:sz w:val="20"/>
          <w:szCs w:val="20"/>
          <w:lang w:val="en-GB"/>
        </w:rPr>
      </w:pPr>
      <w:r>
        <w:rPr>
          <w:w w:val="105"/>
          <w:sz w:val="20"/>
          <w:szCs w:val="20"/>
          <w:u w:val="single"/>
          <w:lang w:val="en-GB"/>
        </w:rPr>
        <w:t xml:space="preserve">Software Use </w:t>
      </w:r>
      <w:r w:rsidRPr="007B4036">
        <w:rPr>
          <w:w w:val="105"/>
          <w:sz w:val="20"/>
          <w:szCs w:val="20"/>
          <w:u w:val="single"/>
          <w:lang w:val="en-GB"/>
        </w:rPr>
        <w:t>Commitments.</w:t>
      </w:r>
      <w:r>
        <w:rPr>
          <w:w w:val="105"/>
          <w:sz w:val="20"/>
          <w:szCs w:val="20"/>
          <w:lang w:val="en-GB"/>
        </w:rPr>
        <w:t xml:space="preserve"> </w:t>
      </w:r>
      <w:r w:rsidR="00614184" w:rsidRPr="0059613A">
        <w:rPr>
          <w:w w:val="105"/>
          <w:sz w:val="20"/>
          <w:szCs w:val="20"/>
          <w:lang w:val="en-GB"/>
        </w:rPr>
        <w:t xml:space="preserve">The </w:t>
      </w:r>
      <w:r>
        <w:rPr>
          <w:w w:val="105"/>
          <w:sz w:val="20"/>
          <w:szCs w:val="20"/>
          <w:lang w:val="en-GB"/>
        </w:rPr>
        <w:t>receiving entity</w:t>
      </w:r>
      <w:r w:rsidR="00501600" w:rsidRPr="0059613A">
        <w:rPr>
          <w:w w:val="105"/>
          <w:sz w:val="20"/>
          <w:szCs w:val="20"/>
          <w:lang w:val="en-GB"/>
        </w:rPr>
        <w:t xml:space="preserve"> </w:t>
      </w:r>
      <w:r w:rsidR="005A5C73" w:rsidRPr="0059613A">
        <w:rPr>
          <w:w w:val="105"/>
          <w:sz w:val="20"/>
          <w:szCs w:val="20"/>
          <w:lang w:val="en-GB"/>
        </w:rPr>
        <w:t xml:space="preserve">agrees to </w:t>
      </w:r>
      <w:r w:rsidR="00265810" w:rsidRPr="0059613A">
        <w:rPr>
          <w:w w:val="105"/>
          <w:sz w:val="20"/>
          <w:szCs w:val="20"/>
          <w:lang w:val="en-GB"/>
        </w:rPr>
        <w:t>process data only for the following purposes:</w:t>
      </w:r>
    </w:p>
    <w:p w14:paraId="394C22CC" w14:textId="77777777" w:rsidR="00194753" w:rsidRPr="00194753" w:rsidRDefault="00194753" w:rsidP="00194753">
      <w:pPr>
        <w:pStyle w:val="ListParagraph"/>
        <w:ind w:left="1800"/>
        <w:rPr>
          <w:sz w:val="20"/>
          <w:szCs w:val="20"/>
          <w:lang w:val="en-GB"/>
        </w:rPr>
      </w:pPr>
    </w:p>
    <w:p w14:paraId="5B779116" w14:textId="77777777" w:rsidR="00D807CD" w:rsidRPr="00D807CD" w:rsidRDefault="0059613A" w:rsidP="00D807CD">
      <w:pPr>
        <w:pStyle w:val="ListParagraph"/>
        <w:numPr>
          <w:ilvl w:val="2"/>
          <w:numId w:val="13"/>
        </w:numPr>
        <w:rPr>
          <w:sz w:val="20"/>
          <w:szCs w:val="20"/>
          <w:u w:val="single"/>
          <w:lang w:val="en-GB"/>
        </w:rPr>
      </w:pPr>
      <w:r>
        <w:rPr>
          <w:w w:val="105"/>
          <w:sz w:val="20"/>
          <w:szCs w:val="20"/>
          <w:u w:val="single"/>
          <w:lang w:val="en-GB"/>
        </w:rPr>
        <w:t>Clinical Use</w:t>
      </w:r>
      <w:r w:rsidR="00265810" w:rsidRPr="00265810">
        <w:rPr>
          <w:w w:val="105"/>
          <w:sz w:val="20"/>
          <w:szCs w:val="20"/>
          <w:u w:val="single"/>
          <w:lang w:val="en-GB"/>
        </w:rPr>
        <w:t>.</w:t>
      </w:r>
      <w:r w:rsidR="00265810">
        <w:rPr>
          <w:w w:val="105"/>
          <w:sz w:val="20"/>
          <w:szCs w:val="20"/>
          <w:lang w:val="en-GB"/>
        </w:rPr>
        <w:t xml:space="preserve">  Submitted</w:t>
      </w:r>
      <w:r w:rsidR="00501600" w:rsidRPr="00265810">
        <w:rPr>
          <w:w w:val="105"/>
          <w:sz w:val="20"/>
          <w:szCs w:val="20"/>
          <w:lang w:val="en-GB"/>
        </w:rPr>
        <w:t xml:space="preserve"> data </w:t>
      </w:r>
      <w:r w:rsidR="00265810">
        <w:rPr>
          <w:w w:val="105"/>
          <w:sz w:val="20"/>
          <w:szCs w:val="20"/>
          <w:lang w:val="en-GB"/>
        </w:rPr>
        <w:t xml:space="preserve">will be used to develop clinical decision support tools. </w:t>
      </w:r>
      <w:r>
        <w:rPr>
          <w:w w:val="105"/>
          <w:sz w:val="20"/>
          <w:szCs w:val="20"/>
          <w:lang w:val="en-GB"/>
        </w:rPr>
        <w:t xml:space="preserve">The CLIR software is made available </w:t>
      </w:r>
      <w:r w:rsidR="00265810" w:rsidRPr="00845A38">
        <w:rPr>
          <w:w w:val="105"/>
          <w:sz w:val="20"/>
          <w:szCs w:val="20"/>
          <w:lang w:val="en-GB"/>
        </w:rPr>
        <w:t>with the explicit stipulation that the post-analytical tools are intended to assist in the interpretation of laboratory results and are not a substitute for professional judgment. All guidelines, interpretations, figures and calculations must be confirmed by qualified healthcare professionals before clinical use.</w:t>
      </w:r>
      <w:r w:rsidR="00265810" w:rsidRPr="00265810">
        <w:rPr>
          <w:b/>
          <w:w w:val="105"/>
          <w:sz w:val="20"/>
          <w:szCs w:val="20"/>
          <w:lang w:val="en-GB"/>
        </w:rPr>
        <w:t xml:space="preserve"> </w:t>
      </w:r>
      <w:r w:rsidR="0065647C" w:rsidRPr="0065647C">
        <w:rPr>
          <w:w w:val="105"/>
          <w:sz w:val="20"/>
          <w:szCs w:val="20"/>
          <w:lang w:val="en-GB"/>
        </w:rPr>
        <w:t>CLIR data is furnished as is, with all faults and without warranty of any kind</w:t>
      </w:r>
      <w:r w:rsidR="0065647C" w:rsidRPr="0065647C">
        <w:rPr>
          <w:rFonts w:cs="Segoe UI"/>
          <w:sz w:val="20"/>
          <w:szCs w:val="20"/>
          <w:shd w:val="clear" w:color="auto" w:fill="FFFFFF"/>
        </w:rPr>
        <w:t>, express or implied, including any warranty of merchantability or fitness for any particular purpose.</w:t>
      </w:r>
    </w:p>
    <w:p w14:paraId="1CEBB63E" w14:textId="77777777" w:rsidR="00D807CD" w:rsidRPr="00D807CD" w:rsidRDefault="00D807CD" w:rsidP="00D807CD">
      <w:pPr>
        <w:pStyle w:val="ListParagraph"/>
        <w:ind w:left="1800"/>
        <w:rPr>
          <w:sz w:val="20"/>
          <w:szCs w:val="20"/>
          <w:u w:val="single"/>
          <w:lang w:val="en-GB"/>
        </w:rPr>
      </w:pPr>
    </w:p>
    <w:p w14:paraId="2D1CEAA6" w14:textId="1505DC93" w:rsidR="0059613A" w:rsidRPr="00D807CD" w:rsidRDefault="00802593" w:rsidP="00D807CD">
      <w:pPr>
        <w:pStyle w:val="ListParagraph"/>
        <w:numPr>
          <w:ilvl w:val="2"/>
          <w:numId w:val="13"/>
        </w:numPr>
        <w:rPr>
          <w:sz w:val="20"/>
          <w:szCs w:val="20"/>
          <w:u w:val="single"/>
          <w:lang w:val="en-GB"/>
        </w:rPr>
      </w:pPr>
      <w:r w:rsidRPr="00D807CD">
        <w:rPr>
          <w:w w:val="105"/>
          <w:sz w:val="20"/>
          <w:szCs w:val="20"/>
          <w:u w:val="single"/>
          <w:lang w:val="en-GB"/>
        </w:rPr>
        <w:t>Academic</w:t>
      </w:r>
      <w:r w:rsidR="00265810" w:rsidRPr="00D807CD">
        <w:rPr>
          <w:w w:val="105"/>
          <w:sz w:val="20"/>
          <w:szCs w:val="20"/>
          <w:u w:val="single"/>
          <w:lang w:val="en-GB"/>
        </w:rPr>
        <w:t xml:space="preserve"> Use.</w:t>
      </w:r>
      <w:r w:rsidR="00265810" w:rsidRPr="00D807CD">
        <w:rPr>
          <w:w w:val="105"/>
          <w:sz w:val="20"/>
          <w:szCs w:val="20"/>
          <w:lang w:val="en-GB"/>
        </w:rPr>
        <w:t xml:space="preserve"> Submitted data may be used for </w:t>
      </w:r>
      <w:r w:rsidRPr="00D807CD">
        <w:rPr>
          <w:w w:val="105"/>
          <w:sz w:val="20"/>
          <w:szCs w:val="20"/>
          <w:lang w:val="en-GB"/>
        </w:rPr>
        <w:t>academic purposes, including quality improvement, test development, and research</w:t>
      </w:r>
      <w:r w:rsidR="00265810" w:rsidRPr="00D807CD">
        <w:rPr>
          <w:w w:val="105"/>
          <w:sz w:val="20"/>
          <w:szCs w:val="20"/>
          <w:lang w:val="en-GB"/>
        </w:rPr>
        <w:t>, with the following limitations:</w:t>
      </w:r>
    </w:p>
    <w:p w14:paraId="04212641" w14:textId="2DDBD131" w:rsidR="0059613A" w:rsidRDefault="0059613A" w:rsidP="0059613A">
      <w:pPr>
        <w:pStyle w:val="ListParagraph"/>
        <w:numPr>
          <w:ilvl w:val="3"/>
          <w:numId w:val="14"/>
        </w:numPr>
        <w:rPr>
          <w:sz w:val="20"/>
          <w:szCs w:val="20"/>
          <w:lang w:val="en-GB"/>
        </w:rPr>
      </w:pPr>
      <w:r>
        <w:rPr>
          <w:sz w:val="20"/>
          <w:szCs w:val="20"/>
          <w:lang w:val="en-GB"/>
        </w:rPr>
        <w:t>A</w:t>
      </w:r>
      <w:r w:rsidR="00265810" w:rsidRPr="0059613A">
        <w:rPr>
          <w:sz w:val="20"/>
          <w:szCs w:val="20"/>
          <w:lang w:val="en-GB"/>
        </w:rPr>
        <w:t xml:space="preserve">ll research activities will be covered by active protocols approved by the Institutional Review Board (IRB) of </w:t>
      </w:r>
      <w:r>
        <w:rPr>
          <w:sz w:val="20"/>
          <w:szCs w:val="20"/>
          <w:lang w:val="en-GB"/>
        </w:rPr>
        <w:t>the receiving entity</w:t>
      </w:r>
      <w:r w:rsidR="00265810" w:rsidRPr="0059613A">
        <w:rPr>
          <w:sz w:val="20"/>
          <w:szCs w:val="20"/>
          <w:lang w:val="en-GB"/>
        </w:rPr>
        <w:t>.</w:t>
      </w:r>
    </w:p>
    <w:p w14:paraId="320FC204" w14:textId="3AEE9ADF" w:rsidR="00143364" w:rsidRPr="0059613A" w:rsidRDefault="00A831E1" w:rsidP="0059613A">
      <w:pPr>
        <w:pStyle w:val="ListParagraph"/>
        <w:numPr>
          <w:ilvl w:val="3"/>
          <w:numId w:val="14"/>
        </w:numPr>
        <w:rPr>
          <w:sz w:val="20"/>
          <w:szCs w:val="20"/>
          <w:lang w:val="en-GB"/>
        </w:rPr>
      </w:pPr>
      <w:r>
        <w:rPr>
          <w:sz w:val="20"/>
          <w:szCs w:val="20"/>
          <w:lang w:val="en-GB"/>
        </w:rPr>
        <w:t>Members of the receiving entity</w:t>
      </w:r>
      <w:r w:rsidR="00265810" w:rsidRPr="0059613A">
        <w:rPr>
          <w:sz w:val="20"/>
          <w:szCs w:val="20"/>
          <w:lang w:val="en-GB"/>
        </w:rPr>
        <w:t xml:space="preserve"> will </w:t>
      </w:r>
      <w:r w:rsidR="00845A38" w:rsidRPr="0059613A">
        <w:rPr>
          <w:sz w:val="20"/>
          <w:szCs w:val="20"/>
          <w:lang w:val="en-GB"/>
        </w:rPr>
        <w:t>not unilaterally</w:t>
      </w:r>
      <w:r w:rsidR="00265810" w:rsidRPr="0059613A">
        <w:rPr>
          <w:sz w:val="20"/>
          <w:szCs w:val="20"/>
          <w:lang w:val="en-GB"/>
        </w:rPr>
        <w:t xml:space="preserve"> publish </w:t>
      </w:r>
      <w:r w:rsidR="00802593" w:rsidRPr="0059613A">
        <w:rPr>
          <w:sz w:val="20"/>
          <w:szCs w:val="20"/>
          <w:lang w:val="en-GB"/>
        </w:rPr>
        <w:t>data or figures generated with</w:t>
      </w:r>
      <w:r w:rsidR="00265810" w:rsidRPr="0059613A">
        <w:rPr>
          <w:sz w:val="20"/>
          <w:szCs w:val="20"/>
          <w:lang w:val="en-GB"/>
        </w:rPr>
        <w:t xml:space="preserve"> submitted data without</w:t>
      </w:r>
      <w:r w:rsidR="0074653A" w:rsidRPr="0059613A">
        <w:rPr>
          <w:sz w:val="20"/>
          <w:szCs w:val="20"/>
          <w:lang w:val="en-GB"/>
        </w:rPr>
        <w:t xml:space="preserve"> providing </w:t>
      </w:r>
      <w:r w:rsidR="00BE3E3E" w:rsidRPr="0059613A">
        <w:rPr>
          <w:sz w:val="20"/>
          <w:szCs w:val="20"/>
          <w:lang w:val="en-GB"/>
        </w:rPr>
        <w:t xml:space="preserve">authorship and/or proper </w:t>
      </w:r>
      <w:r w:rsidR="0074653A" w:rsidRPr="0059613A">
        <w:rPr>
          <w:sz w:val="20"/>
          <w:szCs w:val="20"/>
          <w:lang w:val="en-GB"/>
        </w:rPr>
        <w:t>credit or acknowledgement in the submitted paper</w:t>
      </w:r>
      <w:r w:rsidR="00265810" w:rsidRPr="0059613A">
        <w:rPr>
          <w:sz w:val="20"/>
          <w:szCs w:val="20"/>
          <w:lang w:val="en-GB"/>
        </w:rPr>
        <w:t>.</w:t>
      </w:r>
    </w:p>
    <w:p w14:paraId="2192D0E6" w14:textId="77777777" w:rsidR="00143364" w:rsidRDefault="00143364" w:rsidP="00143364">
      <w:pPr>
        <w:pStyle w:val="ListParagraph"/>
        <w:ind w:left="360"/>
        <w:rPr>
          <w:sz w:val="20"/>
          <w:szCs w:val="20"/>
          <w:lang w:val="en-GB"/>
        </w:rPr>
      </w:pPr>
    </w:p>
    <w:p w14:paraId="31AF0296" w14:textId="6CCF4E29" w:rsidR="001C1BF2" w:rsidRPr="001C1BF2" w:rsidRDefault="001C1BF2" w:rsidP="001C1BF2">
      <w:pPr>
        <w:pStyle w:val="ListParagraph"/>
        <w:numPr>
          <w:ilvl w:val="0"/>
          <w:numId w:val="21"/>
        </w:numPr>
        <w:rPr>
          <w:sz w:val="20"/>
          <w:szCs w:val="20"/>
          <w:lang w:val="en-GB"/>
        </w:rPr>
      </w:pPr>
      <w:r>
        <w:rPr>
          <w:w w:val="105"/>
          <w:sz w:val="20"/>
          <w:szCs w:val="20"/>
          <w:u w:val="single"/>
          <w:lang w:val="en-GB"/>
        </w:rPr>
        <w:t xml:space="preserve">Support </w:t>
      </w:r>
      <w:r w:rsidRPr="007B4036">
        <w:rPr>
          <w:w w:val="105"/>
          <w:sz w:val="20"/>
          <w:szCs w:val="20"/>
          <w:u w:val="single"/>
          <w:lang w:val="en-GB"/>
        </w:rPr>
        <w:t>Commitments.</w:t>
      </w:r>
      <w:r>
        <w:rPr>
          <w:w w:val="105"/>
          <w:sz w:val="20"/>
          <w:szCs w:val="20"/>
          <w:lang w:val="en-GB"/>
        </w:rPr>
        <w:t xml:space="preserve"> </w:t>
      </w:r>
      <w:r w:rsidRPr="0059613A">
        <w:rPr>
          <w:w w:val="105"/>
          <w:sz w:val="20"/>
          <w:szCs w:val="20"/>
          <w:lang w:val="en-GB"/>
        </w:rPr>
        <w:t xml:space="preserve">The </w:t>
      </w:r>
      <w:r>
        <w:rPr>
          <w:w w:val="105"/>
          <w:sz w:val="20"/>
          <w:szCs w:val="20"/>
          <w:lang w:val="en-GB"/>
        </w:rPr>
        <w:t>receiving entity</w:t>
      </w:r>
      <w:r w:rsidRPr="0059613A">
        <w:rPr>
          <w:w w:val="105"/>
          <w:sz w:val="20"/>
          <w:szCs w:val="20"/>
          <w:lang w:val="en-GB"/>
        </w:rPr>
        <w:t xml:space="preserve"> agrees to </w:t>
      </w:r>
      <w:r>
        <w:rPr>
          <w:w w:val="105"/>
          <w:sz w:val="20"/>
          <w:szCs w:val="20"/>
          <w:lang w:val="en-GB"/>
        </w:rPr>
        <w:t>the following support commitments</w:t>
      </w:r>
      <w:r w:rsidRPr="0059613A">
        <w:rPr>
          <w:w w:val="105"/>
          <w:sz w:val="20"/>
          <w:szCs w:val="20"/>
          <w:lang w:val="en-GB"/>
        </w:rPr>
        <w:t>:</w:t>
      </w:r>
    </w:p>
    <w:p w14:paraId="34223A72" w14:textId="77777777" w:rsidR="001C1BF2" w:rsidRDefault="001C7BDC" w:rsidP="001C1BF2">
      <w:pPr>
        <w:pStyle w:val="ListParagraph"/>
        <w:numPr>
          <w:ilvl w:val="2"/>
          <w:numId w:val="21"/>
        </w:numPr>
        <w:ind w:left="1800"/>
        <w:rPr>
          <w:sz w:val="20"/>
          <w:szCs w:val="20"/>
          <w:lang w:val="en-GB"/>
        </w:rPr>
      </w:pPr>
      <w:r w:rsidRPr="001C1BF2">
        <w:rPr>
          <w:sz w:val="20"/>
          <w:szCs w:val="20"/>
          <w:u w:val="single"/>
          <w:lang w:val="en-GB"/>
        </w:rPr>
        <w:t>Organizational Contact.</w:t>
      </w:r>
      <w:r w:rsidRPr="001C1BF2">
        <w:rPr>
          <w:sz w:val="20"/>
          <w:szCs w:val="20"/>
          <w:lang w:val="en-GB"/>
        </w:rPr>
        <w:t xml:space="preserve"> </w:t>
      </w:r>
      <w:r w:rsidR="001C1BF2">
        <w:rPr>
          <w:sz w:val="20"/>
          <w:szCs w:val="20"/>
          <w:lang w:val="en-GB"/>
        </w:rPr>
        <w:t>In the event of security or data loss concern, the re</w:t>
      </w:r>
      <w:r w:rsidR="001C1BF2" w:rsidRPr="001C1BF2">
        <w:rPr>
          <w:sz w:val="20"/>
          <w:szCs w:val="20"/>
          <w:lang w:val="en-GB"/>
        </w:rPr>
        <w:t xml:space="preserve">ceiving entity will </w:t>
      </w:r>
      <w:r w:rsidR="00FF72ED" w:rsidRPr="001C1BF2">
        <w:rPr>
          <w:sz w:val="20"/>
          <w:szCs w:val="20"/>
          <w:lang w:val="en-GB"/>
        </w:rPr>
        <w:t>provide an</w:t>
      </w:r>
      <w:r w:rsidR="001C1BF2">
        <w:rPr>
          <w:sz w:val="20"/>
          <w:szCs w:val="20"/>
          <w:lang w:val="en-GB"/>
        </w:rPr>
        <w:t xml:space="preserve"> individual for direct contact to c</w:t>
      </w:r>
      <w:r w:rsidRPr="001C1BF2">
        <w:rPr>
          <w:sz w:val="20"/>
          <w:szCs w:val="20"/>
          <w:lang w:val="en-GB"/>
        </w:rPr>
        <w:t xml:space="preserve">ollaborate with the </w:t>
      </w:r>
      <w:r w:rsidR="001C1BF2">
        <w:rPr>
          <w:sz w:val="20"/>
          <w:szCs w:val="20"/>
          <w:lang w:val="en-GB"/>
        </w:rPr>
        <w:t>members of the submitting entity</w:t>
      </w:r>
      <w:r w:rsidR="005A5C73" w:rsidRPr="001C1BF2">
        <w:rPr>
          <w:sz w:val="20"/>
          <w:szCs w:val="20"/>
          <w:lang w:val="en-GB"/>
        </w:rPr>
        <w:t>.</w:t>
      </w:r>
    </w:p>
    <w:p w14:paraId="03C9A204" w14:textId="77777777" w:rsidR="001C1BF2" w:rsidRPr="001C1BF2" w:rsidRDefault="001C7BDC" w:rsidP="001C1BF2">
      <w:pPr>
        <w:pStyle w:val="ListParagraph"/>
        <w:numPr>
          <w:ilvl w:val="2"/>
          <w:numId w:val="21"/>
        </w:numPr>
        <w:ind w:left="1800"/>
        <w:rPr>
          <w:sz w:val="20"/>
          <w:szCs w:val="20"/>
          <w:lang w:val="en-GB"/>
        </w:rPr>
      </w:pPr>
      <w:r w:rsidRPr="001C1BF2">
        <w:rPr>
          <w:sz w:val="20"/>
          <w:szCs w:val="20"/>
          <w:u w:val="single"/>
          <w:lang w:val="en-GB"/>
        </w:rPr>
        <w:t>Infrastructure Support.</w:t>
      </w:r>
      <w:r w:rsidRPr="001C1BF2">
        <w:rPr>
          <w:sz w:val="20"/>
          <w:szCs w:val="20"/>
          <w:lang w:val="en-GB"/>
        </w:rPr>
        <w:t xml:space="preserve"> </w:t>
      </w:r>
      <w:r w:rsidR="00664032" w:rsidRPr="001C1BF2">
        <w:rPr>
          <w:sz w:val="20"/>
          <w:szCs w:val="20"/>
        </w:rPr>
        <w:t>CLIR</w:t>
      </w:r>
      <w:r w:rsidR="00826D8B" w:rsidRPr="001C1BF2">
        <w:rPr>
          <w:sz w:val="20"/>
          <w:szCs w:val="20"/>
        </w:rPr>
        <w:t xml:space="preserve"> </w:t>
      </w:r>
      <w:r w:rsidRPr="001C1BF2">
        <w:rPr>
          <w:sz w:val="20"/>
          <w:szCs w:val="20"/>
        </w:rPr>
        <w:t>is provided using</w:t>
      </w:r>
      <w:r w:rsidR="00FF72ED" w:rsidRPr="001C1BF2">
        <w:rPr>
          <w:sz w:val="20"/>
          <w:szCs w:val="20"/>
        </w:rPr>
        <w:t xml:space="preserve"> the institutionally supported</w:t>
      </w:r>
      <w:r w:rsidRPr="001C1BF2">
        <w:rPr>
          <w:sz w:val="20"/>
          <w:szCs w:val="20"/>
        </w:rPr>
        <w:t xml:space="preserve"> soft</w:t>
      </w:r>
      <w:r w:rsidR="00FF72ED" w:rsidRPr="001C1BF2">
        <w:rPr>
          <w:sz w:val="20"/>
          <w:szCs w:val="20"/>
        </w:rPr>
        <w:t xml:space="preserve">ware </w:t>
      </w:r>
      <w:r w:rsidR="001C1BF2">
        <w:rPr>
          <w:sz w:val="20"/>
          <w:szCs w:val="20"/>
        </w:rPr>
        <w:t xml:space="preserve">of the receiving entity and </w:t>
      </w:r>
      <w:r w:rsidR="00FF72ED" w:rsidRPr="001C1BF2">
        <w:rPr>
          <w:sz w:val="20"/>
          <w:szCs w:val="20"/>
        </w:rPr>
        <w:t>hardware infrastructure of the host institution</w:t>
      </w:r>
      <w:r w:rsidR="00E15021" w:rsidRPr="001C1BF2">
        <w:rPr>
          <w:sz w:val="20"/>
          <w:szCs w:val="20"/>
        </w:rPr>
        <w:t xml:space="preserve">, without cost to </w:t>
      </w:r>
      <w:r w:rsidR="00D6113C" w:rsidRPr="001C1BF2">
        <w:rPr>
          <w:sz w:val="20"/>
          <w:szCs w:val="20"/>
        </w:rPr>
        <w:t>data submitter</w:t>
      </w:r>
      <w:r w:rsidR="001C1BF2">
        <w:rPr>
          <w:sz w:val="20"/>
          <w:szCs w:val="20"/>
        </w:rPr>
        <w:t>s or end users</w:t>
      </w:r>
      <w:r w:rsidR="00826D8B" w:rsidRPr="001C1BF2">
        <w:rPr>
          <w:sz w:val="20"/>
          <w:szCs w:val="20"/>
        </w:rPr>
        <w:t>.</w:t>
      </w:r>
    </w:p>
    <w:p w14:paraId="10213ACA" w14:textId="07E59E17" w:rsidR="001C7BDC" w:rsidRDefault="00E15021" w:rsidP="001C1BF2">
      <w:pPr>
        <w:pStyle w:val="ListParagraph"/>
        <w:numPr>
          <w:ilvl w:val="2"/>
          <w:numId w:val="21"/>
        </w:numPr>
        <w:ind w:left="1800"/>
        <w:rPr>
          <w:sz w:val="20"/>
          <w:szCs w:val="20"/>
          <w:lang w:val="en-GB"/>
        </w:rPr>
      </w:pPr>
      <w:r w:rsidRPr="001C1BF2">
        <w:rPr>
          <w:sz w:val="20"/>
          <w:szCs w:val="20"/>
          <w:u w:val="single"/>
          <w:lang w:val="en-GB"/>
        </w:rPr>
        <w:t>No Cost Service.</w:t>
      </w:r>
      <w:r w:rsidRPr="001C1BF2">
        <w:rPr>
          <w:sz w:val="20"/>
          <w:szCs w:val="20"/>
          <w:lang w:val="en-GB"/>
        </w:rPr>
        <w:t xml:space="preserve"> </w:t>
      </w:r>
      <w:r w:rsidR="004D7293" w:rsidRPr="001C1BF2">
        <w:rPr>
          <w:sz w:val="20"/>
          <w:szCs w:val="20"/>
          <w:lang w:val="en-GB"/>
        </w:rPr>
        <w:t>CLIR</w:t>
      </w:r>
      <w:r w:rsidRPr="001C1BF2">
        <w:rPr>
          <w:sz w:val="20"/>
          <w:szCs w:val="20"/>
          <w:lang w:val="en-GB"/>
        </w:rPr>
        <w:t xml:space="preserve"> will remain available without cost</w:t>
      </w:r>
      <w:r w:rsidR="0065647C">
        <w:rPr>
          <w:sz w:val="20"/>
          <w:szCs w:val="20"/>
          <w:lang w:val="en-GB"/>
        </w:rPr>
        <w:t xml:space="preserve"> </w:t>
      </w:r>
      <w:r w:rsidR="0065647C" w:rsidRPr="001C1BF2">
        <w:rPr>
          <w:sz w:val="20"/>
          <w:szCs w:val="20"/>
          <w:lang w:val="en-GB"/>
        </w:rPr>
        <w:t>in perpetuity</w:t>
      </w:r>
      <w:r w:rsidRPr="001C1BF2">
        <w:rPr>
          <w:sz w:val="20"/>
          <w:szCs w:val="20"/>
          <w:lang w:val="en-GB"/>
        </w:rPr>
        <w:t xml:space="preserve"> </w:t>
      </w:r>
      <w:r w:rsidR="0065647C">
        <w:rPr>
          <w:sz w:val="20"/>
          <w:szCs w:val="20"/>
          <w:lang w:val="en-GB"/>
        </w:rPr>
        <w:t xml:space="preserve">to all </w:t>
      </w:r>
      <w:r w:rsidRPr="001C1BF2">
        <w:rPr>
          <w:sz w:val="20"/>
          <w:szCs w:val="20"/>
          <w:lang w:val="en-GB"/>
        </w:rPr>
        <w:t xml:space="preserve">for </w:t>
      </w:r>
      <w:r w:rsidR="00A80CC3" w:rsidRPr="001C1BF2">
        <w:rPr>
          <w:sz w:val="20"/>
          <w:szCs w:val="20"/>
          <w:lang w:val="en-GB"/>
        </w:rPr>
        <w:t>uses</w:t>
      </w:r>
      <w:r w:rsidRPr="001C1BF2">
        <w:rPr>
          <w:sz w:val="20"/>
          <w:szCs w:val="20"/>
          <w:lang w:val="en-GB"/>
        </w:rPr>
        <w:t xml:space="preserve"> related to </w:t>
      </w:r>
      <w:proofErr w:type="spellStart"/>
      <w:r w:rsidRPr="001C1BF2">
        <w:rPr>
          <w:sz w:val="20"/>
          <w:szCs w:val="20"/>
          <w:lang w:val="en-GB"/>
        </w:rPr>
        <w:t>newborn</w:t>
      </w:r>
      <w:proofErr w:type="spellEnd"/>
      <w:r w:rsidRPr="001C1BF2">
        <w:rPr>
          <w:sz w:val="20"/>
          <w:szCs w:val="20"/>
          <w:lang w:val="en-GB"/>
        </w:rPr>
        <w:t xml:space="preserve"> screening, clinical biochemical genetics, and </w:t>
      </w:r>
      <w:proofErr w:type="spellStart"/>
      <w:r w:rsidRPr="001C1BF2">
        <w:rPr>
          <w:sz w:val="20"/>
          <w:szCs w:val="20"/>
          <w:lang w:val="en-GB"/>
        </w:rPr>
        <w:t>pediatric</w:t>
      </w:r>
      <w:proofErr w:type="spellEnd"/>
      <w:r w:rsidRPr="001C1BF2">
        <w:rPr>
          <w:sz w:val="20"/>
          <w:szCs w:val="20"/>
          <w:lang w:val="en-GB"/>
        </w:rPr>
        <w:t xml:space="preserve"> medicine.</w:t>
      </w:r>
    </w:p>
    <w:p w14:paraId="6DA5F579" w14:textId="77777777" w:rsidR="001C1BF2" w:rsidRDefault="001C1BF2" w:rsidP="001C1BF2">
      <w:pPr>
        <w:pStyle w:val="ListParagraph"/>
        <w:ind w:left="1800"/>
        <w:rPr>
          <w:sz w:val="20"/>
          <w:szCs w:val="20"/>
          <w:lang w:val="en-GB"/>
        </w:rPr>
      </w:pPr>
    </w:p>
    <w:p w14:paraId="4D310BFE" w14:textId="47546BF0" w:rsidR="001C1BF2" w:rsidRPr="001C1BF2" w:rsidRDefault="001C1BF2" w:rsidP="001C1BF2">
      <w:pPr>
        <w:pStyle w:val="ListParagraph"/>
        <w:numPr>
          <w:ilvl w:val="0"/>
          <w:numId w:val="21"/>
        </w:numPr>
        <w:rPr>
          <w:sz w:val="20"/>
          <w:szCs w:val="20"/>
          <w:lang w:val="en-GB"/>
        </w:rPr>
      </w:pPr>
      <w:r>
        <w:rPr>
          <w:w w:val="105"/>
          <w:sz w:val="20"/>
          <w:szCs w:val="20"/>
          <w:u w:val="single"/>
          <w:lang w:val="en-GB"/>
        </w:rPr>
        <w:t xml:space="preserve">Succession </w:t>
      </w:r>
      <w:r w:rsidRPr="007B4036">
        <w:rPr>
          <w:w w:val="105"/>
          <w:sz w:val="20"/>
          <w:szCs w:val="20"/>
          <w:u w:val="single"/>
          <w:lang w:val="en-GB"/>
        </w:rPr>
        <w:t>Commitment.</w:t>
      </w:r>
      <w:r>
        <w:rPr>
          <w:w w:val="105"/>
          <w:sz w:val="20"/>
          <w:szCs w:val="20"/>
          <w:lang w:val="en-GB"/>
        </w:rPr>
        <w:t xml:space="preserve"> </w:t>
      </w:r>
      <w:r w:rsidRPr="0059613A">
        <w:rPr>
          <w:w w:val="105"/>
          <w:sz w:val="20"/>
          <w:szCs w:val="20"/>
          <w:lang w:val="en-GB"/>
        </w:rPr>
        <w:t xml:space="preserve">The </w:t>
      </w:r>
      <w:r>
        <w:rPr>
          <w:w w:val="105"/>
          <w:sz w:val="20"/>
          <w:szCs w:val="20"/>
          <w:lang w:val="en-GB"/>
        </w:rPr>
        <w:t>receiving entity</w:t>
      </w:r>
      <w:r w:rsidRPr="0059613A">
        <w:rPr>
          <w:w w:val="105"/>
          <w:sz w:val="20"/>
          <w:szCs w:val="20"/>
          <w:lang w:val="en-GB"/>
        </w:rPr>
        <w:t xml:space="preserve"> agrees to </w:t>
      </w:r>
      <w:r>
        <w:rPr>
          <w:w w:val="105"/>
          <w:sz w:val="20"/>
          <w:szCs w:val="20"/>
          <w:lang w:val="en-GB"/>
        </w:rPr>
        <w:t>the following succession commitments</w:t>
      </w:r>
      <w:r w:rsidRPr="0059613A">
        <w:rPr>
          <w:w w:val="105"/>
          <w:sz w:val="20"/>
          <w:szCs w:val="20"/>
          <w:lang w:val="en-GB"/>
        </w:rPr>
        <w:t>:</w:t>
      </w:r>
    </w:p>
    <w:p w14:paraId="586860A0" w14:textId="77777777" w:rsidR="001C1BF2" w:rsidRPr="001C1BF2" w:rsidRDefault="001C1BF2" w:rsidP="001C1BF2">
      <w:pPr>
        <w:pStyle w:val="ListParagraph"/>
        <w:ind w:left="1080"/>
        <w:rPr>
          <w:sz w:val="20"/>
          <w:szCs w:val="20"/>
          <w:lang w:val="en-GB"/>
        </w:rPr>
      </w:pPr>
    </w:p>
    <w:p w14:paraId="19501DCF" w14:textId="0DC5E7FC" w:rsidR="00352CA1" w:rsidRPr="001C1BF2" w:rsidRDefault="00E15021" w:rsidP="001C1BF2">
      <w:pPr>
        <w:pStyle w:val="ListParagraph"/>
        <w:numPr>
          <w:ilvl w:val="2"/>
          <w:numId w:val="21"/>
        </w:numPr>
        <w:ind w:left="1800"/>
        <w:rPr>
          <w:sz w:val="20"/>
          <w:szCs w:val="20"/>
          <w:lang w:val="en-GB"/>
        </w:rPr>
      </w:pPr>
      <w:r w:rsidRPr="001C1BF2">
        <w:rPr>
          <w:sz w:val="20"/>
          <w:szCs w:val="20"/>
          <w:u w:val="single"/>
        </w:rPr>
        <w:t>Discontinuation of Service.</w:t>
      </w:r>
      <w:r w:rsidRPr="001C1BF2">
        <w:rPr>
          <w:sz w:val="20"/>
          <w:szCs w:val="20"/>
        </w:rPr>
        <w:t xml:space="preserve">  If </w:t>
      </w:r>
      <w:r w:rsidR="004D7293" w:rsidRPr="001C1BF2">
        <w:rPr>
          <w:sz w:val="20"/>
          <w:szCs w:val="20"/>
        </w:rPr>
        <w:t>CLIR</w:t>
      </w:r>
      <w:r w:rsidR="0012552F" w:rsidRPr="001C1BF2">
        <w:rPr>
          <w:sz w:val="20"/>
          <w:szCs w:val="20"/>
        </w:rPr>
        <w:t xml:space="preserve"> is discontinued</w:t>
      </w:r>
      <w:r w:rsidR="00352CA1" w:rsidRPr="001C1BF2">
        <w:rPr>
          <w:sz w:val="20"/>
          <w:szCs w:val="20"/>
        </w:rPr>
        <w:t>,</w:t>
      </w:r>
      <w:r w:rsidRPr="001C1BF2">
        <w:rPr>
          <w:sz w:val="20"/>
          <w:szCs w:val="20"/>
        </w:rPr>
        <w:t xml:space="preserve"> </w:t>
      </w:r>
      <w:r w:rsidR="002A544D" w:rsidRPr="001C1BF2">
        <w:rPr>
          <w:sz w:val="20"/>
          <w:szCs w:val="20"/>
        </w:rPr>
        <w:t xml:space="preserve">the receiving entity will </w:t>
      </w:r>
      <w:r w:rsidR="0012552F" w:rsidRPr="001C1BF2">
        <w:rPr>
          <w:sz w:val="20"/>
          <w:szCs w:val="20"/>
        </w:rPr>
        <w:t>ensure secure deletion of all submitted data</w:t>
      </w:r>
      <w:r w:rsidR="002A544D" w:rsidRPr="001C1BF2">
        <w:rPr>
          <w:sz w:val="20"/>
          <w:szCs w:val="20"/>
        </w:rPr>
        <w:t xml:space="preserve"> from the host</w:t>
      </w:r>
      <w:r w:rsidR="001C1BF2">
        <w:rPr>
          <w:sz w:val="20"/>
          <w:szCs w:val="20"/>
        </w:rPr>
        <w:t>ing entity</w:t>
      </w:r>
      <w:r w:rsidR="0012552F" w:rsidRPr="001C1BF2">
        <w:rPr>
          <w:sz w:val="20"/>
          <w:szCs w:val="20"/>
        </w:rPr>
        <w:t xml:space="preserve">.  </w:t>
      </w:r>
    </w:p>
    <w:p w14:paraId="2E926B91" w14:textId="77777777" w:rsidR="00D6113C" w:rsidRDefault="00D6113C" w:rsidP="00D6113C">
      <w:pPr>
        <w:rPr>
          <w:sz w:val="20"/>
          <w:szCs w:val="20"/>
          <w:u w:val="single"/>
        </w:rPr>
      </w:pPr>
    </w:p>
    <w:p w14:paraId="631C8133" w14:textId="6D1F093B" w:rsidR="0065647C" w:rsidRDefault="0065647C" w:rsidP="0065647C">
      <w:pPr>
        <w:rPr>
          <w:b/>
          <w:sz w:val="20"/>
          <w:szCs w:val="20"/>
          <w:lang w:val="en-GB"/>
        </w:rPr>
      </w:pPr>
      <w:r>
        <w:rPr>
          <w:b/>
          <w:sz w:val="20"/>
        </w:rPr>
        <w:t>IN WITNESS WHEREOF</w:t>
      </w:r>
      <w:r>
        <w:rPr>
          <w:sz w:val="20"/>
        </w:rPr>
        <w:t>, the parties hereto have executed this agreement in duplicate by proper person there unto duly authorized.</w:t>
      </w:r>
    </w:p>
    <w:p w14:paraId="7098E057" w14:textId="7C616E02" w:rsidR="007B4036" w:rsidRDefault="007B4036">
      <w:pPr>
        <w:rPr>
          <w:b/>
          <w:sz w:val="20"/>
          <w:szCs w:val="20"/>
          <w:lang w:val="en-GB"/>
        </w:rPr>
      </w:pPr>
    </w:p>
    <w:p w14:paraId="55B0454E" w14:textId="25C5EC8C" w:rsidR="00254876" w:rsidRDefault="00254876" w:rsidP="00254876">
      <w:pPr>
        <w:pStyle w:val="ListParagraph"/>
        <w:numPr>
          <w:ilvl w:val="0"/>
          <w:numId w:val="19"/>
        </w:numPr>
        <w:rPr>
          <w:b/>
          <w:sz w:val="20"/>
          <w:szCs w:val="20"/>
          <w:lang w:val="en-GB"/>
        </w:rPr>
      </w:pPr>
      <w:r>
        <w:rPr>
          <w:b/>
          <w:sz w:val="20"/>
          <w:szCs w:val="20"/>
          <w:lang w:val="en-GB"/>
        </w:rPr>
        <w:t>SIGNATURES</w:t>
      </w:r>
      <w:r w:rsidR="00511F9E">
        <w:rPr>
          <w:b/>
          <w:sz w:val="20"/>
          <w:szCs w:val="20"/>
          <w:lang w:val="en-GB"/>
        </w:rPr>
        <w:t xml:space="preserve">  </w:t>
      </w:r>
    </w:p>
    <w:p w14:paraId="3510701B" w14:textId="77777777" w:rsidR="00BC096F" w:rsidRPr="00254876" w:rsidRDefault="00BC096F" w:rsidP="00BC096F">
      <w:pPr>
        <w:pStyle w:val="ListParagraph"/>
        <w:ind w:left="360"/>
        <w:rPr>
          <w:b/>
          <w:sz w:val="20"/>
          <w:szCs w:val="20"/>
          <w:lang w:val="en-GB"/>
        </w:rPr>
      </w:pPr>
    </w:p>
    <w:tbl>
      <w:tblPr>
        <w:tblStyle w:val="TableGrid"/>
        <w:tblW w:w="82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50"/>
        <w:gridCol w:w="4050"/>
      </w:tblGrid>
      <w:tr w:rsidR="00254876" w14:paraId="25DDB9EF" w14:textId="77777777" w:rsidTr="00BC096F">
        <w:trPr>
          <w:trHeight w:val="1088"/>
        </w:trPr>
        <w:tc>
          <w:tcPr>
            <w:tcW w:w="3708" w:type="dxa"/>
          </w:tcPr>
          <w:p w14:paraId="2CA5101B" w14:textId="6EDBAE6A" w:rsidR="00254876" w:rsidRPr="00BC096F" w:rsidRDefault="00BC096F" w:rsidP="00254876">
            <w:pPr>
              <w:ind w:right="1062"/>
              <w:rPr>
                <w:b/>
                <w:sz w:val="32"/>
                <w:szCs w:val="32"/>
              </w:rPr>
            </w:pPr>
            <w:r w:rsidRPr="00BC096F">
              <w:rPr>
                <w:b/>
                <w:sz w:val="32"/>
                <w:szCs w:val="32"/>
              </w:rPr>
              <w:t>Submitting Entity</w:t>
            </w:r>
          </w:p>
          <w:p w14:paraId="6EDBF7BD" w14:textId="77777777" w:rsidR="00254876" w:rsidRPr="00254876" w:rsidRDefault="00254876" w:rsidP="00254876">
            <w:pPr>
              <w:ind w:right="1062"/>
              <w:rPr>
                <w:sz w:val="20"/>
                <w:szCs w:val="20"/>
              </w:rPr>
            </w:pPr>
          </w:p>
        </w:tc>
        <w:tc>
          <w:tcPr>
            <w:tcW w:w="450" w:type="dxa"/>
          </w:tcPr>
          <w:p w14:paraId="07BBFCEF" w14:textId="77777777" w:rsidR="00254876" w:rsidRPr="00254876" w:rsidRDefault="00254876" w:rsidP="00D6113C">
            <w:pPr>
              <w:rPr>
                <w:sz w:val="20"/>
                <w:szCs w:val="20"/>
              </w:rPr>
            </w:pPr>
          </w:p>
        </w:tc>
        <w:tc>
          <w:tcPr>
            <w:tcW w:w="4050" w:type="dxa"/>
          </w:tcPr>
          <w:p w14:paraId="78E7ADE7" w14:textId="44C76057" w:rsidR="00BC096F" w:rsidRPr="00BC096F" w:rsidRDefault="00BC096F" w:rsidP="00BC096F">
            <w:pPr>
              <w:ind w:right="1062"/>
              <w:rPr>
                <w:b/>
                <w:sz w:val="32"/>
                <w:szCs w:val="32"/>
              </w:rPr>
            </w:pPr>
            <w:r>
              <w:rPr>
                <w:b/>
                <w:sz w:val="32"/>
                <w:szCs w:val="32"/>
              </w:rPr>
              <w:t xml:space="preserve">Receiving </w:t>
            </w:r>
            <w:r w:rsidRPr="00BC096F">
              <w:rPr>
                <w:b/>
                <w:sz w:val="32"/>
                <w:szCs w:val="32"/>
              </w:rPr>
              <w:t>Entity</w:t>
            </w:r>
          </w:p>
          <w:p w14:paraId="51E30642" w14:textId="77777777" w:rsidR="00254876" w:rsidRPr="00254876" w:rsidRDefault="00254876" w:rsidP="00D6113C">
            <w:pPr>
              <w:rPr>
                <w:sz w:val="20"/>
                <w:szCs w:val="20"/>
              </w:rPr>
            </w:pPr>
          </w:p>
        </w:tc>
      </w:tr>
      <w:tr w:rsidR="00254876" w14:paraId="48ACFA91" w14:textId="77777777" w:rsidTr="00BC096F">
        <w:trPr>
          <w:trHeight w:val="254"/>
        </w:trPr>
        <w:tc>
          <w:tcPr>
            <w:tcW w:w="3708" w:type="dxa"/>
            <w:tcBorders>
              <w:bottom w:val="single" w:sz="4" w:space="0" w:color="auto"/>
            </w:tcBorders>
          </w:tcPr>
          <w:p w14:paraId="4632DD1E" w14:textId="2FC7C5D8" w:rsidR="00254876" w:rsidRPr="00254876" w:rsidRDefault="00254876" w:rsidP="00254876">
            <w:pPr>
              <w:ind w:right="1062"/>
              <w:rPr>
                <w:sz w:val="18"/>
                <w:szCs w:val="18"/>
              </w:rPr>
            </w:pPr>
          </w:p>
        </w:tc>
        <w:tc>
          <w:tcPr>
            <w:tcW w:w="450" w:type="dxa"/>
          </w:tcPr>
          <w:p w14:paraId="285992D4" w14:textId="77777777" w:rsidR="00254876" w:rsidRPr="00254876" w:rsidRDefault="00254876" w:rsidP="00D6113C">
            <w:pPr>
              <w:rPr>
                <w:sz w:val="20"/>
                <w:szCs w:val="20"/>
              </w:rPr>
            </w:pPr>
          </w:p>
        </w:tc>
        <w:tc>
          <w:tcPr>
            <w:tcW w:w="4050" w:type="dxa"/>
            <w:tcBorders>
              <w:bottom w:val="single" w:sz="4" w:space="0" w:color="auto"/>
            </w:tcBorders>
          </w:tcPr>
          <w:p w14:paraId="0F629B12" w14:textId="11A48053" w:rsidR="00254876" w:rsidRPr="00254876" w:rsidRDefault="00254876" w:rsidP="00D6113C">
            <w:pPr>
              <w:rPr>
                <w:sz w:val="20"/>
                <w:szCs w:val="20"/>
              </w:rPr>
            </w:pPr>
          </w:p>
        </w:tc>
      </w:tr>
      <w:tr w:rsidR="00254876" w14:paraId="283AD823" w14:textId="77777777" w:rsidTr="00BC096F">
        <w:trPr>
          <w:trHeight w:val="710"/>
        </w:trPr>
        <w:tc>
          <w:tcPr>
            <w:tcW w:w="3708" w:type="dxa"/>
            <w:tcBorders>
              <w:top w:val="single" w:sz="4" w:space="0" w:color="auto"/>
              <w:bottom w:val="single" w:sz="4" w:space="0" w:color="auto"/>
            </w:tcBorders>
          </w:tcPr>
          <w:p w14:paraId="4F5B39A2" w14:textId="2B9A930E" w:rsidR="00254876" w:rsidRDefault="00BC096F" w:rsidP="00254876">
            <w:pPr>
              <w:ind w:right="1062"/>
              <w:rPr>
                <w:sz w:val="20"/>
                <w:szCs w:val="20"/>
              </w:rPr>
            </w:pPr>
            <w:r>
              <w:rPr>
                <w:sz w:val="20"/>
                <w:szCs w:val="20"/>
              </w:rPr>
              <w:t>Name</w:t>
            </w:r>
          </w:p>
          <w:p w14:paraId="2F157A99" w14:textId="77777777" w:rsidR="00254876" w:rsidRPr="00254876" w:rsidRDefault="00254876" w:rsidP="00254876">
            <w:pPr>
              <w:ind w:right="1062"/>
              <w:rPr>
                <w:sz w:val="20"/>
                <w:szCs w:val="20"/>
              </w:rPr>
            </w:pPr>
          </w:p>
        </w:tc>
        <w:tc>
          <w:tcPr>
            <w:tcW w:w="450" w:type="dxa"/>
          </w:tcPr>
          <w:p w14:paraId="660D04F7" w14:textId="77777777" w:rsidR="00254876" w:rsidRPr="00254876" w:rsidRDefault="00254876" w:rsidP="00D6113C">
            <w:pPr>
              <w:rPr>
                <w:sz w:val="20"/>
                <w:szCs w:val="20"/>
              </w:rPr>
            </w:pPr>
          </w:p>
        </w:tc>
        <w:tc>
          <w:tcPr>
            <w:tcW w:w="4050" w:type="dxa"/>
            <w:tcBorders>
              <w:top w:val="single" w:sz="4" w:space="0" w:color="auto"/>
              <w:bottom w:val="single" w:sz="4" w:space="0" w:color="auto"/>
            </w:tcBorders>
          </w:tcPr>
          <w:p w14:paraId="1C845937" w14:textId="2378F6E2" w:rsidR="00254876" w:rsidRPr="00254876" w:rsidRDefault="00BC096F" w:rsidP="00D6113C">
            <w:pPr>
              <w:rPr>
                <w:sz w:val="20"/>
                <w:szCs w:val="20"/>
              </w:rPr>
            </w:pPr>
            <w:r>
              <w:rPr>
                <w:sz w:val="20"/>
                <w:szCs w:val="20"/>
              </w:rPr>
              <w:t>Name</w:t>
            </w:r>
          </w:p>
        </w:tc>
      </w:tr>
      <w:tr w:rsidR="00254876" w14:paraId="25825175" w14:textId="77777777" w:rsidTr="00BC096F">
        <w:trPr>
          <w:trHeight w:val="254"/>
        </w:trPr>
        <w:tc>
          <w:tcPr>
            <w:tcW w:w="3708" w:type="dxa"/>
            <w:tcBorders>
              <w:top w:val="single" w:sz="4" w:space="0" w:color="auto"/>
            </w:tcBorders>
          </w:tcPr>
          <w:p w14:paraId="74827487" w14:textId="4F808B2A" w:rsidR="00254876" w:rsidRPr="00254876" w:rsidRDefault="00254876" w:rsidP="00254876">
            <w:pPr>
              <w:ind w:left="720" w:right="1062" w:hanging="720"/>
              <w:rPr>
                <w:sz w:val="20"/>
                <w:szCs w:val="20"/>
              </w:rPr>
            </w:pPr>
            <w:r>
              <w:rPr>
                <w:sz w:val="20"/>
                <w:szCs w:val="20"/>
              </w:rPr>
              <w:t>Title</w:t>
            </w:r>
          </w:p>
        </w:tc>
        <w:tc>
          <w:tcPr>
            <w:tcW w:w="450" w:type="dxa"/>
          </w:tcPr>
          <w:p w14:paraId="4BBD59A0" w14:textId="77777777" w:rsidR="00254876" w:rsidRPr="00254876" w:rsidRDefault="00254876" w:rsidP="00D6113C">
            <w:pPr>
              <w:rPr>
                <w:sz w:val="20"/>
                <w:szCs w:val="20"/>
              </w:rPr>
            </w:pPr>
          </w:p>
        </w:tc>
        <w:tc>
          <w:tcPr>
            <w:tcW w:w="4050" w:type="dxa"/>
            <w:tcBorders>
              <w:top w:val="single" w:sz="4" w:space="0" w:color="auto"/>
            </w:tcBorders>
          </w:tcPr>
          <w:p w14:paraId="3A242F42" w14:textId="5A632BAE" w:rsidR="00254876" w:rsidRPr="00254876" w:rsidRDefault="00254876" w:rsidP="00D6113C">
            <w:pPr>
              <w:rPr>
                <w:sz w:val="20"/>
                <w:szCs w:val="20"/>
              </w:rPr>
            </w:pPr>
            <w:r>
              <w:rPr>
                <w:sz w:val="20"/>
                <w:szCs w:val="20"/>
              </w:rPr>
              <w:t>Title</w:t>
            </w:r>
          </w:p>
        </w:tc>
      </w:tr>
      <w:tr w:rsidR="00254876" w14:paraId="4915154A" w14:textId="77777777" w:rsidTr="00BC096F">
        <w:trPr>
          <w:trHeight w:val="548"/>
        </w:trPr>
        <w:tc>
          <w:tcPr>
            <w:tcW w:w="3708" w:type="dxa"/>
            <w:tcBorders>
              <w:bottom w:val="single" w:sz="4" w:space="0" w:color="auto"/>
            </w:tcBorders>
          </w:tcPr>
          <w:p w14:paraId="79BEED5D" w14:textId="77777777" w:rsidR="00254876" w:rsidRDefault="00254876" w:rsidP="00254876">
            <w:pPr>
              <w:ind w:right="1062"/>
              <w:rPr>
                <w:sz w:val="20"/>
                <w:szCs w:val="20"/>
              </w:rPr>
            </w:pPr>
          </w:p>
          <w:p w14:paraId="137BCC59" w14:textId="77777777" w:rsidR="00254876" w:rsidRPr="00254876" w:rsidRDefault="00254876" w:rsidP="00254876">
            <w:pPr>
              <w:ind w:right="1062"/>
              <w:rPr>
                <w:sz w:val="20"/>
                <w:szCs w:val="20"/>
              </w:rPr>
            </w:pPr>
          </w:p>
        </w:tc>
        <w:tc>
          <w:tcPr>
            <w:tcW w:w="450" w:type="dxa"/>
          </w:tcPr>
          <w:p w14:paraId="0F5B39D1" w14:textId="77777777" w:rsidR="00254876" w:rsidRPr="00254876" w:rsidRDefault="00254876" w:rsidP="00D6113C">
            <w:pPr>
              <w:rPr>
                <w:sz w:val="20"/>
                <w:szCs w:val="20"/>
              </w:rPr>
            </w:pPr>
          </w:p>
        </w:tc>
        <w:tc>
          <w:tcPr>
            <w:tcW w:w="4050" w:type="dxa"/>
            <w:tcBorders>
              <w:bottom w:val="single" w:sz="4" w:space="0" w:color="auto"/>
            </w:tcBorders>
          </w:tcPr>
          <w:p w14:paraId="39C5C557" w14:textId="77777777" w:rsidR="00254876" w:rsidRPr="00254876" w:rsidRDefault="00254876" w:rsidP="00D6113C">
            <w:pPr>
              <w:rPr>
                <w:sz w:val="20"/>
                <w:szCs w:val="20"/>
              </w:rPr>
            </w:pPr>
          </w:p>
        </w:tc>
      </w:tr>
      <w:tr w:rsidR="00254876" w14:paraId="7773DE88" w14:textId="77777777" w:rsidTr="00BC096F">
        <w:trPr>
          <w:trHeight w:val="270"/>
        </w:trPr>
        <w:tc>
          <w:tcPr>
            <w:tcW w:w="3708" w:type="dxa"/>
            <w:tcBorders>
              <w:top w:val="single" w:sz="4" w:space="0" w:color="auto"/>
            </w:tcBorders>
          </w:tcPr>
          <w:p w14:paraId="48DEA188" w14:textId="1167B123" w:rsidR="00254876" w:rsidRPr="00254876" w:rsidRDefault="00254876" w:rsidP="00254876">
            <w:pPr>
              <w:ind w:right="1062"/>
              <w:rPr>
                <w:sz w:val="20"/>
                <w:szCs w:val="20"/>
              </w:rPr>
            </w:pPr>
            <w:r>
              <w:rPr>
                <w:sz w:val="20"/>
                <w:szCs w:val="20"/>
              </w:rPr>
              <w:t>Date</w:t>
            </w:r>
          </w:p>
        </w:tc>
        <w:tc>
          <w:tcPr>
            <w:tcW w:w="450" w:type="dxa"/>
          </w:tcPr>
          <w:p w14:paraId="1FE7BC98" w14:textId="77777777" w:rsidR="00254876" w:rsidRPr="00254876" w:rsidRDefault="00254876" w:rsidP="00D6113C">
            <w:pPr>
              <w:rPr>
                <w:sz w:val="20"/>
                <w:szCs w:val="20"/>
              </w:rPr>
            </w:pPr>
          </w:p>
        </w:tc>
        <w:tc>
          <w:tcPr>
            <w:tcW w:w="4050" w:type="dxa"/>
            <w:tcBorders>
              <w:top w:val="single" w:sz="4" w:space="0" w:color="auto"/>
            </w:tcBorders>
          </w:tcPr>
          <w:p w14:paraId="183AD30F" w14:textId="298FA228" w:rsidR="00254876" w:rsidRPr="00254876" w:rsidRDefault="00254876" w:rsidP="00254876">
            <w:pPr>
              <w:ind w:left="1440" w:hanging="1440"/>
              <w:rPr>
                <w:sz w:val="20"/>
                <w:szCs w:val="20"/>
              </w:rPr>
            </w:pPr>
            <w:r>
              <w:rPr>
                <w:sz w:val="20"/>
                <w:szCs w:val="20"/>
              </w:rPr>
              <w:t>Date</w:t>
            </w:r>
          </w:p>
        </w:tc>
      </w:tr>
      <w:tr w:rsidR="00BC096F" w14:paraId="01F2451A" w14:textId="77777777" w:rsidTr="00BC096F">
        <w:trPr>
          <w:trHeight w:val="1178"/>
        </w:trPr>
        <w:tc>
          <w:tcPr>
            <w:tcW w:w="3708" w:type="dxa"/>
            <w:tcBorders>
              <w:bottom w:val="single" w:sz="4" w:space="0" w:color="auto"/>
            </w:tcBorders>
          </w:tcPr>
          <w:p w14:paraId="316CC528" w14:textId="77777777" w:rsidR="00BC096F" w:rsidRDefault="00BC096F" w:rsidP="00254876">
            <w:pPr>
              <w:ind w:right="1062"/>
              <w:rPr>
                <w:sz w:val="20"/>
                <w:szCs w:val="20"/>
              </w:rPr>
            </w:pPr>
          </w:p>
        </w:tc>
        <w:tc>
          <w:tcPr>
            <w:tcW w:w="450" w:type="dxa"/>
          </w:tcPr>
          <w:p w14:paraId="34D45EA8" w14:textId="77777777" w:rsidR="00BC096F" w:rsidRPr="00254876" w:rsidRDefault="00BC096F" w:rsidP="00D6113C">
            <w:pPr>
              <w:rPr>
                <w:sz w:val="20"/>
                <w:szCs w:val="20"/>
              </w:rPr>
            </w:pPr>
          </w:p>
        </w:tc>
        <w:tc>
          <w:tcPr>
            <w:tcW w:w="4050" w:type="dxa"/>
            <w:tcBorders>
              <w:bottom w:val="single" w:sz="4" w:space="0" w:color="auto"/>
            </w:tcBorders>
          </w:tcPr>
          <w:p w14:paraId="524025AD" w14:textId="77777777" w:rsidR="00BC096F" w:rsidRDefault="00BC096F" w:rsidP="00254876">
            <w:pPr>
              <w:ind w:left="1440" w:hanging="1440"/>
              <w:rPr>
                <w:sz w:val="20"/>
                <w:szCs w:val="20"/>
              </w:rPr>
            </w:pPr>
          </w:p>
        </w:tc>
      </w:tr>
      <w:tr w:rsidR="00BC096F" w14:paraId="38D63E70" w14:textId="77777777" w:rsidTr="00BC096F">
        <w:trPr>
          <w:trHeight w:val="422"/>
        </w:trPr>
        <w:tc>
          <w:tcPr>
            <w:tcW w:w="3708" w:type="dxa"/>
            <w:tcBorders>
              <w:top w:val="single" w:sz="4" w:space="0" w:color="auto"/>
            </w:tcBorders>
          </w:tcPr>
          <w:p w14:paraId="1F64A4BC" w14:textId="0E261413" w:rsidR="00BC096F" w:rsidRDefault="00BC096F" w:rsidP="00254876">
            <w:pPr>
              <w:ind w:right="1062"/>
              <w:rPr>
                <w:sz w:val="20"/>
                <w:szCs w:val="20"/>
              </w:rPr>
            </w:pPr>
            <w:r>
              <w:rPr>
                <w:sz w:val="20"/>
                <w:szCs w:val="20"/>
              </w:rPr>
              <w:t>Signature</w:t>
            </w:r>
          </w:p>
        </w:tc>
        <w:tc>
          <w:tcPr>
            <w:tcW w:w="450" w:type="dxa"/>
          </w:tcPr>
          <w:p w14:paraId="731087A0" w14:textId="77777777" w:rsidR="00BC096F" w:rsidRPr="00254876" w:rsidRDefault="00BC096F" w:rsidP="00D6113C">
            <w:pPr>
              <w:rPr>
                <w:sz w:val="20"/>
                <w:szCs w:val="20"/>
              </w:rPr>
            </w:pPr>
          </w:p>
        </w:tc>
        <w:tc>
          <w:tcPr>
            <w:tcW w:w="4050" w:type="dxa"/>
            <w:tcBorders>
              <w:top w:val="single" w:sz="4" w:space="0" w:color="auto"/>
            </w:tcBorders>
          </w:tcPr>
          <w:p w14:paraId="5C300254" w14:textId="64581DB8" w:rsidR="00BC096F" w:rsidRDefault="00BC096F" w:rsidP="00254876">
            <w:pPr>
              <w:ind w:left="1440" w:hanging="1440"/>
              <w:rPr>
                <w:sz w:val="20"/>
                <w:szCs w:val="20"/>
              </w:rPr>
            </w:pPr>
            <w:r>
              <w:rPr>
                <w:sz w:val="20"/>
                <w:szCs w:val="20"/>
              </w:rPr>
              <w:t>Signature</w:t>
            </w:r>
          </w:p>
        </w:tc>
      </w:tr>
    </w:tbl>
    <w:p w14:paraId="396F6151" w14:textId="77777777" w:rsidR="00254876" w:rsidRDefault="00254876" w:rsidP="00254876">
      <w:pPr>
        <w:rPr>
          <w:sz w:val="20"/>
          <w:szCs w:val="20"/>
          <w:u w:val="single"/>
        </w:rPr>
      </w:pPr>
    </w:p>
    <w:p w14:paraId="23BA9CB1" w14:textId="77777777" w:rsidR="00A914E6" w:rsidRDefault="00A914E6" w:rsidP="00254876">
      <w:pPr>
        <w:rPr>
          <w:sz w:val="20"/>
          <w:szCs w:val="20"/>
          <w:u w:val="single"/>
        </w:rPr>
      </w:pPr>
    </w:p>
    <w:sectPr w:rsidR="00A914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3E7B" w14:textId="77777777" w:rsidR="006E4BF2" w:rsidRDefault="006E4BF2" w:rsidP="00501600">
      <w:pPr>
        <w:spacing w:after="0" w:line="240" w:lineRule="auto"/>
      </w:pPr>
      <w:r>
        <w:separator/>
      </w:r>
    </w:p>
  </w:endnote>
  <w:endnote w:type="continuationSeparator" w:id="0">
    <w:p w14:paraId="6B483082" w14:textId="77777777" w:rsidR="006E4BF2" w:rsidRDefault="006E4BF2" w:rsidP="0050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871B" w14:textId="77777777" w:rsidR="00CB42E2" w:rsidRDefault="00CB4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03F8" w14:textId="5521F8CA" w:rsidR="00650221" w:rsidRDefault="00650221" w:rsidP="00650221">
    <w:pPr>
      <w:pStyle w:val="Footer"/>
      <w:jc w:val="both"/>
    </w:pPr>
    <w:r>
      <w:t>CLIR MOU v</w:t>
    </w:r>
    <w:r w:rsidR="001513A6">
      <w:t>2</w:t>
    </w:r>
    <w:r>
      <w:t xml:space="preserve">.0 </w:t>
    </w:r>
    <w:r w:rsidR="001513A6">
      <w:t>10</w:t>
    </w:r>
    <w:r>
      <w:t>/</w:t>
    </w:r>
    <w:r w:rsidR="001513A6">
      <w:t>30</w:t>
    </w:r>
    <w:r>
      <w:t>/20</w:t>
    </w:r>
    <w:r w:rsidR="001513A6">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F8B4" w14:textId="77777777" w:rsidR="00CB42E2" w:rsidRDefault="00CB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59260" w14:textId="77777777" w:rsidR="006E4BF2" w:rsidRDefault="006E4BF2" w:rsidP="00501600">
      <w:pPr>
        <w:spacing w:after="0" w:line="240" w:lineRule="auto"/>
      </w:pPr>
      <w:r>
        <w:separator/>
      </w:r>
    </w:p>
  </w:footnote>
  <w:footnote w:type="continuationSeparator" w:id="0">
    <w:p w14:paraId="0F7FD06C" w14:textId="77777777" w:rsidR="006E4BF2" w:rsidRDefault="006E4BF2" w:rsidP="0050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9EB6" w14:textId="77777777" w:rsidR="00501600" w:rsidRPr="00ED6EBE" w:rsidRDefault="00501600" w:rsidP="00ED6EBE">
    <w:pPr>
      <w:pStyle w:val="Header"/>
      <w:tabs>
        <w:tab w:val="clear" w:pos="4536"/>
        <w:tab w:val="clear" w:pos="9072"/>
        <w:tab w:val="left" w:pos="3972"/>
      </w:tabs>
      <w:rPr>
        <w:lang w:val="nl-NL"/>
      </w:rPr>
    </w:pPr>
    <w:r>
      <w:tab/>
    </w:r>
    <w:r>
      <w:rPr>
        <w:lang w:val="nl-NL"/>
      </w:rPr>
      <w:t>DTA RIVM -- ………..</w:t>
    </w:r>
  </w:p>
  <w:p w14:paraId="081CA4D5" w14:textId="77777777" w:rsidR="00501600" w:rsidRPr="001F302E" w:rsidRDefault="00501600" w:rsidP="00ED6EBE">
    <w:pPr>
      <w:pStyle w:val="Header"/>
      <w:tabs>
        <w:tab w:val="clear" w:pos="4536"/>
        <w:tab w:val="clear" w:pos="9072"/>
        <w:tab w:val="left" w:pos="3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C628" w14:textId="77777777" w:rsidR="00CB42E2" w:rsidRDefault="00CB4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6482" w14:textId="77777777" w:rsidR="00CB42E2" w:rsidRDefault="00CB4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653"/>
    <w:multiLevelType w:val="hybridMultilevel"/>
    <w:tmpl w:val="22C081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77372"/>
    <w:multiLevelType w:val="hybridMultilevel"/>
    <w:tmpl w:val="40C07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9A0189"/>
    <w:multiLevelType w:val="hybridMultilevel"/>
    <w:tmpl w:val="AE6CFD64"/>
    <w:lvl w:ilvl="0" w:tplc="0409000F">
      <w:start w:val="1"/>
      <w:numFmt w:val="decimal"/>
      <w:lvlText w:val="%1."/>
      <w:lvlJc w:val="left"/>
      <w:pPr>
        <w:ind w:left="1854" w:hanging="360"/>
      </w:pPr>
    </w:lvl>
    <w:lvl w:ilvl="1" w:tplc="04130019">
      <w:start w:val="1"/>
      <w:numFmt w:val="lowerLetter"/>
      <w:lvlText w:val="%2."/>
      <w:lvlJc w:val="left"/>
      <w:pPr>
        <w:ind w:left="630" w:hanging="360"/>
      </w:pPr>
    </w:lvl>
    <w:lvl w:ilvl="2" w:tplc="0413001B">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
    <w:nsid w:val="11BD3220"/>
    <w:multiLevelType w:val="hybridMultilevel"/>
    <w:tmpl w:val="6EA63362"/>
    <w:lvl w:ilvl="0" w:tplc="2B8C0F2C">
      <w:start w:val="1"/>
      <w:numFmt w:val="upperRoman"/>
      <w:lvlText w:val="%1."/>
      <w:lvlJc w:val="left"/>
      <w:pPr>
        <w:ind w:left="360" w:hanging="360"/>
      </w:pPr>
      <w:rPr>
        <w:rFonts w:asciiTheme="minorHAnsi" w:eastAsiaTheme="minorHAnsi" w:hAnsiTheme="minorHAnsi" w:cstheme="minorBidi"/>
        <w:w w:val="105"/>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0A4C83"/>
    <w:multiLevelType w:val="hybridMultilevel"/>
    <w:tmpl w:val="20768F3A"/>
    <w:lvl w:ilvl="0" w:tplc="04090019">
      <w:start w:val="1"/>
      <w:numFmt w:val="lowerLetter"/>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1FD1476A"/>
    <w:multiLevelType w:val="hybridMultilevel"/>
    <w:tmpl w:val="C4D0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B85"/>
    <w:multiLevelType w:val="hybridMultilevel"/>
    <w:tmpl w:val="CD502B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28517481"/>
    <w:multiLevelType w:val="hybridMultilevel"/>
    <w:tmpl w:val="280CD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B446D"/>
    <w:multiLevelType w:val="hybridMultilevel"/>
    <w:tmpl w:val="8B78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AA4563"/>
    <w:multiLevelType w:val="hybridMultilevel"/>
    <w:tmpl w:val="3F728872"/>
    <w:lvl w:ilvl="0" w:tplc="1E90F546">
      <w:start w:val="3"/>
      <w:numFmt w:val="decimal"/>
      <w:lvlText w:val="%1."/>
      <w:lvlJc w:val="left"/>
      <w:pPr>
        <w:ind w:left="703" w:hanging="239"/>
      </w:pPr>
      <w:rPr>
        <w:rFonts w:ascii="PMingLiU" w:eastAsia="PMingLiU" w:hAnsi="PMingLiU" w:cs="PMingLiU" w:hint="default"/>
        <w:w w:val="105"/>
        <w:sz w:val="19"/>
        <w:szCs w:val="19"/>
      </w:rPr>
    </w:lvl>
    <w:lvl w:ilvl="1" w:tplc="129436B4">
      <w:start w:val="1"/>
      <w:numFmt w:val="decimal"/>
      <w:lvlText w:val="%2."/>
      <w:lvlJc w:val="left"/>
      <w:pPr>
        <w:ind w:left="941" w:hanging="239"/>
      </w:pPr>
      <w:rPr>
        <w:rFonts w:ascii="PMingLiU" w:eastAsia="PMingLiU" w:hAnsi="PMingLiU" w:cs="PMingLiU" w:hint="default"/>
        <w:w w:val="105"/>
        <w:sz w:val="19"/>
        <w:szCs w:val="19"/>
      </w:rPr>
    </w:lvl>
    <w:lvl w:ilvl="2" w:tplc="15D61196">
      <w:start w:val="1"/>
      <w:numFmt w:val="lowerLetter"/>
      <w:lvlText w:val="(%3)"/>
      <w:lvlJc w:val="left"/>
      <w:pPr>
        <w:ind w:left="1379" w:hanging="245"/>
      </w:pPr>
      <w:rPr>
        <w:rFonts w:ascii="PMingLiU" w:eastAsia="PMingLiU" w:hAnsi="PMingLiU" w:cs="PMingLiU" w:hint="default"/>
        <w:w w:val="89"/>
        <w:sz w:val="17"/>
        <w:szCs w:val="17"/>
      </w:rPr>
    </w:lvl>
    <w:lvl w:ilvl="3" w:tplc="0BFC0C1C">
      <w:numFmt w:val="bullet"/>
      <w:lvlText w:val="•"/>
      <w:lvlJc w:val="left"/>
      <w:pPr>
        <w:ind w:left="1888" w:hanging="245"/>
      </w:pPr>
      <w:rPr>
        <w:rFonts w:hint="default"/>
      </w:rPr>
    </w:lvl>
    <w:lvl w:ilvl="4" w:tplc="F18408EC">
      <w:numFmt w:val="bullet"/>
      <w:lvlText w:val="•"/>
      <w:lvlJc w:val="left"/>
      <w:pPr>
        <w:ind w:left="2396" w:hanging="245"/>
      </w:pPr>
      <w:rPr>
        <w:rFonts w:hint="default"/>
      </w:rPr>
    </w:lvl>
    <w:lvl w:ilvl="5" w:tplc="AF0AA4D8">
      <w:numFmt w:val="bullet"/>
      <w:lvlText w:val="•"/>
      <w:lvlJc w:val="left"/>
      <w:pPr>
        <w:ind w:left="2904" w:hanging="245"/>
      </w:pPr>
      <w:rPr>
        <w:rFonts w:hint="default"/>
      </w:rPr>
    </w:lvl>
    <w:lvl w:ilvl="6" w:tplc="7E4C8BCA">
      <w:numFmt w:val="bullet"/>
      <w:lvlText w:val="•"/>
      <w:lvlJc w:val="left"/>
      <w:pPr>
        <w:ind w:left="3412" w:hanging="245"/>
      </w:pPr>
      <w:rPr>
        <w:rFonts w:hint="default"/>
      </w:rPr>
    </w:lvl>
    <w:lvl w:ilvl="7" w:tplc="35EAA1D6">
      <w:numFmt w:val="bullet"/>
      <w:lvlText w:val="•"/>
      <w:lvlJc w:val="left"/>
      <w:pPr>
        <w:ind w:left="3920" w:hanging="245"/>
      </w:pPr>
      <w:rPr>
        <w:rFonts w:hint="default"/>
      </w:rPr>
    </w:lvl>
    <w:lvl w:ilvl="8" w:tplc="F5C2CAD4">
      <w:numFmt w:val="bullet"/>
      <w:lvlText w:val="•"/>
      <w:lvlJc w:val="left"/>
      <w:pPr>
        <w:ind w:left="4428" w:hanging="245"/>
      </w:pPr>
      <w:rPr>
        <w:rFonts w:hint="default"/>
      </w:rPr>
    </w:lvl>
  </w:abstractNum>
  <w:abstractNum w:abstractNumId="10">
    <w:nsid w:val="34C24374"/>
    <w:multiLevelType w:val="hybridMultilevel"/>
    <w:tmpl w:val="E698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A5775"/>
    <w:multiLevelType w:val="hybridMultilevel"/>
    <w:tmpl w:val="F176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53741"/>
    <w:multiLevelType w:val="hybridMultilevel"/>
    <w:tmpl w:val="7666BB50"/>
    <w:lvl w:ilvl="0" w:tplc="17FA4E34">
      <w:start w:val="1"/>
      <w:numFmt w:val="decimal"/>
      <w:lvlText w:val="%1."/>
      <w:lvlJc w:val="left"/>
      <w:pPr>
        <w:ind w:left="360" w:hanging="360"/>
      </w:pPr>
      <w:rPr>
        <w:rFonts w:hint="default"/>
        <w:w w:val="10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430724"/>
    <w:multiLevelType w:val="hybridMultilevel"/>
    <w:tmpl w:val="261C8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9F1459"/>
    <w:multiLevelType w:val="hybridMultilevel"/>
    <w:tmpl w:val="0BCE2F4E"/>
    <w:lvl w:ilvl="0" w:tplc="2B8C0F2C">
      <w:start w:val="1"/>
      <w:numFmt w:val="upperRoman"/>
      <w:lvlText w:val="%1."/>
      <w:lvlJc w:val="left"/>
      <w:pPr>
        <w:ind w:left="360" w:hanging="360"/>
      </w:pPr>
      <w:rPr>
        <w:rFonts w:asciiTheme="minorHAnsi" w:eastAsiaTheme="minorHAnsi" w:hAnsiTheme="minorHAnsi" w:cstheme="minorBidi"/>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4947A8"/>
    <w:multiLevelType w:val="hybridMultilevel"/>
    <w:tmpl w:val="59D46E7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50E0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475259"/>
    <w:multiLevelType w:val="hybridMultilevel"/>
    <w:tmpl w:val="F3A21712"/>
    <w:lvl w:ilvl="0" w:tplc="6316BF62">
      <w:start w:val="1"/>
      <w:numFmt w:val="decimal"/>
      <w:lvlText w:val="(%1)"/>
      <w:lvlJc w:val="left"/>
      <w:pPr>
        <w:ind w:left="1479" w:hanging="205"/>
      </w:pPr>
      <w:rPr>
        <w:rFonts w:ascii="PMingLiU" w:eastAsia="PMingLiU" w:hAnsi="PMingLiU" w:cs="PMingLiU" w:hint="default"/>
        <w:spacing w:val="-1"/>
        <w:w w:val="82"/>
        <w:sz w:val="15"/>
        <w:szCs w:val="15"/>
      </w:rPr>
    </w:lvl>
    <w:lvl w:ilvl="1" w:tplc="8DC8AD1A">
      <w:numFmt w:val="bullet"/>
      <w:lvlText w:val="•"/>
      <w:lvlJc w:val="left"/>
      <w:pPr>
        <w:ind w:left="2405" w:hanging="205"/>
      </w:pPr>
      <w:rPr>
        <w:rFonts w:hint="default"/>
      </w:rPr>
    </w:lvl>
    <w:lvl w:ilvl="2" w:tplc="6BA078AE">
      <w:numFmt w:val="bullet"/>
      <w:lvlText w:val="•"/>
      <w:lvlJc w:val="left"/>
      <w:pPr>
        <w:ind w:left="3329" w:hanging="205"/>
      </w:pPr>
      <w:rPr>
        <w:rFonts w:hint="default"/>
      </w:rPr>
    </w:lvl>
    <w:lvl w:ilvl="3" w:tplc="373C4776">
      <w:numFmt w:val="bullet"/>
      <w:lvlText w:val="•"/>
      <w:lvlJc w:val="left"/>
      <w:pPr>
        <w:ind w:left="4253" w:hanging="205"/>
      </w:pPr>
      <w:rPr>
        <w:rFonts w:hint="default"/>
      </w:rPr>
    </w:lvl>
    <w:lvl w:ilvl="4" w:tplc="EE641FAC">
      <w:numFmt w:val="bullet"/>
      <w:lvlText w:val="•"/>
      <w:lvlJc w:val="left"/>
      <w:pPr>
        <w:ind w:left="5177" w:hanging="205"/>
      </w:pPr>
      <w:rPr>
        <w:rFonts w:hint="default"/>
      </w:rPr>
    </w:lvl>
    <w:lvl w:ilvl="5" w:tplc="51105400">
      <w:numFmt w:val="bullet"/>
      <w:lvlText w:val="•"/>
      <w:lvlJc w:val="left"/>
      <w:pPr>
        <w:ind w:left="6101" w:hanging="205"/>
      </w:pPr>
      <w:rPr>
        <w:rFonts w:hint="default"/>
      </w:rPr>
    </w:lvl>
    <w:lvl w:ilvl="6" w:tplc="D6A64BAC">
      <w:numFmt w:val="bullet"/>
      <w:lvlText w:val="•"/>
      <w:lvlJc w:val="left"/>
      <w:pPr>
        <w:ind w:left="7025" w:hanging="205"/>
      </w:pPr>
      <w:rPr>
        <w:rFonts w:hint="default"/>
      </w:rPr>
    </w:lvl>
    <w:lvl w:ilvl="7" w:tplc="59BCF216">
      <w:numFmt w:val="bullet"/>
      <w:lvlText w:val="•"/>
      <w:lvlJc w:val="left"/>
      <w:pPr>
        <w:ind w:left="7949" w:hanging="205"/>
      </w:pPr>
      <w:rPr>
        <w:rFonts w:hint="default"/>
      </w:rPr>
    </w:lvl>
    <w:lvl w:ilvl="8" w:tplc="ECB6B826">
      <w:numFmt w:val="bullet"/>
      <w:lvlText w:val="•"/>
      <w:lvlJc w:val="left"/>
      <w:pPr>
        <w:ind w:left="8873" w:hanging="205"/>
      </w:pPr>
      <w:rPr>
        <w:rFonts w:hint="default"/>
      </w:rPr>
    </w:lvl>
  </w:abstractNum>
  <w:abstractNum w:abstractNumId="18">
    <w:nsid w:val="6C7A61A3"/>
    <w:multiLevelType w:val="hybridMultilevel"/>
    <w:tmpl w:val="09E4E84C"/>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F85DA7"/>
    <w:multiLevelType w:val="hybridMultilevel"/>
    <w:tmpl w:val="4B2C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D47E2"/>
    <w:multiLevelType w:val="hybridMultilevel"/>
    <w:tmpl w:val="CC741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D32C3F"/>
    <w:multiLevelType w:val="hybridMultilevel"/>
    <w:tmpl w:val="67246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
  </w:num>
  <w:num w:numId="4">
    <w:abstractNumId w:val="4"/>
  </w:num>
  <w:num w:numId="5">
    <w:abstractNumId w:val="5"/>
  </w:num>
  <w:num w:numId="6">
    <w:abstractNumId w:val="11"/>
  </w:num>
  <w:num w:numId="7">
    <w:abstractNumId w:val="21"/>
  </w:num>
  <w:num w:numId="8">
    <w:abstractNumId w:val="6"/>
  </w:num>
  <w:num w:numId="9">
    <w:abstractNumId w:val="8"/>
  </w:num>
  <w:num w:numId="10">
    <w:abstractNumId w:val="19"/>
  </w:num>
  <w:num w:numId="11">
    <w:abstractNumId w:val="16"/>
  </w:num>
  <w:num w:numId="12">
    <w:abstractNumId w:val="14"/>
  </w:num>
  <w:num w:numId="13">
    <w:abstractNumId w:val="1"/>
  </w:num>
  <w:num w:numId="14">
    <w:abstractNumId w:val="12"/>
  </w:num>
  <w:num w:numId="15">
    <w:abstractNumId w:val="7"/>
  </w:num>
  <w:num w:numId="16">
    <w:abstractNumId w:val="20"/>
  </w:num>
  <w:num w:numId="17">
    <w:abstractNumId w:val="3"/>
  </w:num>
  <w:num w:numId="18">
    <w:abstractNumId w:val="9"/>
  </w:num>
  <w:num w:numId="19">
    <w:abstractNumId w:val="0"/>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E3"/>
    <w:rsid w:val="00000673"/>
    <w:rsid w:val="00003CB0"/>
    <w:rsid w:val="00004652"/>
    <w:rsid w:val="000062E7"/>
    <w:rsid w:val="0000632B"/>
    <w:rsid w:val="0001120E"/>
    <w:rsid w:val="0002145D"/>
    <w:rsid w:val="0002246E"/>
    <w:rsid w:val="000446AB"/>
    <w:rsid w:val="000741ED"/>
    <w:rsid w:val="000834FF"/>
    <w:rsid w:val="0008596D"/>
    <w:rsid w:val="000A4297"/>
    <w:rsid w:val="000A62A0"/>
    <w:rsid w:val="000A7E5C"/>
    <w:rsid w:val="000D7E56"/>
    <w:rsid w:val="000F061D"/>
    <w:rsid w:val="0012552F"/>
    <w:rsid w:val="00136C3E"/>
    <w:rsid w:val="00143364"/>
    <w:rsid w:val="001513A6"/>
    <w:rsid w:val="00152605"/>
    <w:rsid w:val="00165C14"/>
    <w:rsid w:val="00187D81"/>
    <w:rsid w:val="00194753"/>
    <w:rsid w:val="001B10EA"/>
    <w:rsid w:val="001B48D7"/>
    <w:rsid w:val="001C1BF2"/>
    <w:rsid w:val="001C7BDC"/>
    <w:rsid w:val="001E763A"/>
    <w:rsid w:val="00220789"/>
    <w:rsid w:val="0023583F"/>
    <w:rsid w:val="00251D25"/>
    <w:rsid w:val="00254876"/>
    <w:rsid w:val="00265810"/>
    <w:rsid w:val="002A2D25"/>
    <w:rsid w:val="002A544D"/>
    <w:rsid w:val="002B7056"/>
    <w:rsid w:val="002F3B08"/>
    <w:rsid w:val="002F61F3"/>
    <w:rsid w:val="003306C2"/>
    <w:rsid w:val="003333B3"/>
    <w:rsid w:val="00340C32"/>
    <w:rsid w:val="00341E84"/>
    <w:rsid w:val="003516C1"/>
    <w:rsid w:val="00352CA1"/>
    <w:rsid w:val="00354B2C"/>
    <w:rsid w:val="0037771A"/>
    <w:rsid w:val="003828B0"/>
    <w:rsid w:val="00385ED2"/>
    <w:rsid w:val="003B17F9"/>
    <w:rsid w:val="003D670A"/>
    <w:rsid w:val="003D7C0B"/>
    <w:rsid w:val="003F352B"/>
    <w:rsid w:val="00411119"/>
    <w:rsid w:val="00456AB6"/>
    <w:rsid w:val="0047645B"/>
    <w:rsid w:val="004B049E"/>
    <w:rsid w:val="004C2E42"/>
    <w:rsid w:val="004D53E2"/>
    <w:rsid w:val="004D7293"/>
    <w:rsid w:val="00501600"/>
    <w:rsid w:val="00501803"/>
    <w:rsid w:val="00511F9E"/>
    <w:rsid w:val="00523867"/>
    <w:rsid w:val="005360A9"/>
    <w:rsid w:val="0055225F"/>
    <w:rsid w:val="00561D2A"/>
    <w:rsid w:val="0059613A"/>
    <w:rsid w:val="005A5C73"/>
    <w:rsid w:val="005A72FB"/>
    <w:rsid w:val="005B58F3"/>
    <w:rsid w:val="005C1850"/>
    <w:rsid w:val="005E0CE3"/>
    <w:rsid w:val="005E4BA3"/>
    <w:rsid w:val="005E6B97"/>
    <w:rsid w:val="00606E0C"/>
    <w:rsid w:val="00614184"/>
    <w:rsid w:val="006415D9"/>
    <w:rsid w:val="00650221"/>
    <w:rsid w:val="0065647C"/>
    <w:rsid w:val="00664032"/>
    <w:rsid w:val="00674943"/>
    <w:rsid w:val="0067542A"/>
    <w:rsid w:val="006D0755"/>
    <w:rsid w:val="006E4BF2"/>
    <w:rsid w:val="006F2299"/>
    <w:rsid w:val="00725238"/>
    <w:rsid w:val="00726378"/>
    <w:rsid w:val="0074653A"/>
    <w:rsid w:val="00776A32"/>
    <w:rsid w:val="007A02F4"/>
    <w:rsid w:val="007B134A"/>
    <w:rsid w:val="007B4036"/>
    <w:rsid w:val="007C3486"/>
    <w:rsid w:val="007E580D"/>
    <w:rsid w:val="007F0F2E"/>
    <w:rsid w:val="00802593"/>
    <w:rsid w:val="00811FF5"/>
    <w:rsid w:val="008216BD"/>
    <w:rsid w:val="00826D8B"/>
    <w:rsid w:val="00845A38"/>
    <w:rsid w:val="0084722C"/>
    <w:rsid w:val="008967ED"/>
    <w:rsid w:val="008B37D5"/>
    <w:rsid w:val="008E08DA"/>
    <w:rsid w:val="00924294"/>
    <w:rsid w:val="009401EA"/>
    <w:rsid w:val="0094529A"/>
    <w:rsid w:val="009545A8"/>
    <w:rsid w:val="009661D4"/>
    <w:rsid w:val="00990978"/>
    <w:rsid w:val="00991831"/>
    <w:rsid w:val="009A58CF"/>
    <w:rsid w:val="009B1883"/>
    <w:rsid w:val="009E4E48"/>
    <w:rsid w:val="00A00894"/>
    <w:rsid w:val="00A06533"/>
    <w:rsid w:val="00A1767A"/>
    <w:rsid w:val="00A331AB"/>
    <w:rsid w:val="00A33C35"/>
    <w:rsid w:val="00A80CC3"/>
    <w:rsid w:val="00A831E1"/>
    <w:rsid w:val="00A877D9"/>
    <w:rsid w:val="00A914E6"/>
    <w:rsid w:val="00AB50AE"/>
    <w:rsid w:val="00AE7618"/>
    <w:rsid w:val="00AF65AF"/>
    <w:rsid w:val="00B146F1"/>
    <w:rsid w:val="00B52C77"/>
    <w:rsid w:val="00B60761"/>
    <w:rsid w:val="00B75915"/>
    <w:rsid w:val="00BB42AB"/>
    <w:rsid w:val="00BC096F"/>
    <w:rsid w:val="00BD75B4"/>
    <w:rsid w:val="00BE3E3E"/>
    <w:rsid w:val="00C14F70"/>
    <w:rsid w:val="00C17A22"/>
    <w:rsid w:val="00C21D23"/>
    <w:rsid w:val="00C40DC6"/>
    <w:rsid w:val="00CA5F18"/>
    <w:rsid w:val="00CA683C"/>
    <w:rsid w:val="00CA6E52"/>
    <w:rsid w:val="00CB2C4C"/>
    <w:rsid w:val="00CB42E2"/>
    <w:rsid w:val="00CD446F"/>
    <w:rsid w:val="00CF75A2"/>
    <w:rsid w:val="00D11EE2"/>
    <w:rsid w:val="00D46B64"/>
    <w:rsid w:val="00D474D8"/>
    <w:rsid w:val="00D6113C"/>
    <w:rsid w:val="00D633B0"/>
    <w:rsid w:val="00D807CD"/>
    <w:rsid w:val="00D910D6"/>
    <w:rsid w:val="00D96E36"/>
    <w:rsid w:val="00DB16C8"/>
    <w:rsid w:val="00DB1962"/>
    <w:rsid w:val="00DB52FE"/>
    <w:rsid w:val="00DE3F7C"/>
    <w:rsid w:val="00DE5939"/>
    <w:rsid w:val="00DF48EF"/>
    <w:rsid w:val="00DF7FB1"/>
    <w:rsid w:val="00E00709"/>
    <w:rsid w:val="00E15021"/>
    <w:rsid w:val="00E15111"/>
    <w:rsid w:val="00E47952"/>
    <w:rsid w:val="00E52B25"/>
    <w:rsid w:val="00E74809"/>
    <w:rsid w:val="00EC4118"/>
    <w:rsid w:val="00EF7AD3"/>
    <w:rsid w:val="00F275B9"/>
    <w:rsid w:val="00F33C1B"/>
    <w:rsid w:val="00F4608F"/>
    <w:rsid w:val="00F75209"/>
    <w:rsid w:val="00F77453"/>
    <w:rsid w:val="00F809EF"/>
    <w:rsid w:val="00F843C6"/>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CE3"/>
    <w:pPr>
      <w:ind w:left="720"/>
      <w:contextualSpacing/>
    </w:pPr>
  </w:style>
  <w:style w:type="character" w:styleId="Hyperlink">
    <w:name w:val="Hyperlink"/>
    <w:basedOn w:val="DefaultParagraphFont"/>
    <w:uiPriority w:val="99"/>
    <w:unhideWhenUsed/>
    <w:rsid w:val="005E0CE3"/>
    <w:rPr>
      <w:color w:val="0000FF" w:themeColor="hyperlink"/>
      <w:u w:val="single"/>
    </w:rPr>
  </w:style>
  <w:style w:type="paragraph" w:styleId="BodyText">
    <w:name w:val="Body Text"/>
    <w:basedOn w:val="Normal"/>
    <w:link w:val="BodyTextChar"/>
    <w:uiPriority w:val="1"/>
    <w:qFormat/>
    <w:rsid w:val="00501600"/>
    <w:pPr>
      <w:widowControl w:val="0"/>
      <w:autoSpaceDE w:val="0"/>
      <w:autoSpaceDN w:val="0"/>
      <w:spacing w:after="0" w:line="240" w:lineRule="auto"/>
    </w:pPr>
    <w:rPr>
      <w:rFonts w:ascii="PMingLiU" w:eastAsia="PMingLiU" w:hAnsi="PMingLiU" w:cs="PMingLiU"/>
      <w:sz w:val="17"/>
      <w:szCs w:val="17"/>
    </w:rPr>
  </w:style>
  <w:style w:type="character" w:customStyle="1" w:styleId="BodyTextChar">
    <w:name w:val="Body Text Char"/>
    <w:basedOn w:val="DefaultParagraphFont"/>
    <w:link w:val="BodyText"/>
    <w:uiPriority w:val="1"/>
    <w:rsid w:val="00501600"/>
    <w:rPr>
      <w:rFonts w:ascii="PMingLiU" w:eastAsia="PMingLiU" w:hAnsi="PMingLiU" w:cs="PMingLiU"/>
      <w:sz w:val="17"/>
      <w:szCs w:val="17"/>
    </w:rPr>
  </w:style>
  <w:style w:type="paragraph" w:styleId="Header">
    <w:name w:val="header"/>
    <w:basedOn w:val="Normal"/>
    <w:link w:val="HeaderChar"/>
    <w:uiPriority w:val="99"/>
    <w:unhideWhenUsed/>
    <w:rsid w:val="00501600"/>
    <w:pPr>
      <w:widowControl w:val="0"/>
      <w:tabs>
        <w:tab w:val="center" w:pos="4536"/>
        <w:tab w:val="right" w:pos="9072"/>
      </w:tabs>
      <w:autoSpaceDE w:val="0"/>
      <w:autoSpaceDN w:val="0"/>
      <w:spacing w:after="0" w:line="240" w:lineRule="auto"/>
    </w:pPr>
    <w:rPr>
      <w:rFonts w:ascii="PMingLiU" w:eastAsia="PMingLiU" w:hAnsi="PMingLiU" w:cs="PMingLiU"/>
    </w:rPr>
  </w:style>
  <w:style w:type="character" w:customStyle="1" w:styleId="HeaderChar">
    <w:name w:val="Header Char"/>
    <w:basedOn w:val="DefaultParagraphFont"/>
    <w:link w:val="Header"/>
    <w:uiPriority w:val="99"/>
    <w:rsid w:val="00501600"/>
    <w:rPr>
      <w:rFonts w:ascii="PMingLiU" w:eastAsia="PMingLiU" w:hAnsi="PMingLiU" w:cs="PMingLiU"/>
    </w:rPr>
  </w:style>
  <w:style w:type="character" w:customStyle="1" w:styleId="ListParagraphChar">
    <w:name w:val="List Paragraph Char"/>
    <w:basedOn w:val="DefaultParagraphFont"/>
    <w:link w:val="ListParagraph"/>
    <w:uiPriority w:val="34"/>
    <w:rsid w:val="00501600"/>
  </w:style>
  <w:style w:type="paragraph" w:styleId="FootnoteText">
    <w:name w:val="footnote text"/>
    <w:basedOn w:val="Normal"/>
    <w:link w:val="FootnoteTextChar"/>
    <w:uiPriority w:val="99"/>
    <w:semiHidden/>
    <w:unhideWhenUsed/>
    <w:rsid w:val="00501600"/>
    <w:pPr>
      <w:widowControl w:val="0"/>
      <w:autoSpaceDE w:val="0"/>
      <w:autoSpaceDN w:val="0"/>
      <w:spacing w:after="0" w:line="240" w:lineRule="auto"/>
    </w:pPr>
    <w:rPr>
      <w:rFonts w:ascii="PMingLiU" w:eastAsia="PMingLiU" w:hAnsi="PMingLiU" w:cs="PMingLiU"/>
      <w:sz w:val="20"/>
      <w:szCs w:val="20"/>
    </w:rPr>
  </w:style>
  <w:style w:type="character" w:customStyle="1" w:styleId="FootnoteTextChar">
    <w:name w:val="Footnote Text Char"/>
    <w:basedOn w:val="DefaultParagraphFont"/>
    <w:link w:val="FootnoteText"/>
    <w:uiPriority w:val="99"/>
    <w:semiHidden/>
    <w:rsid w:val="00501600"/>
    <w:rPr>
      <w:rFonts w:ascii="PMingLiU" w:eastAsia="PMingLiU" w:hAnsi="PMingLiU" w:cs="PMingLiU"/>
      <w:sz w:val="20"/>
      <w:szCs w:val="20"/>
    </w:rPr>
  </w:style>
  <w:style w:type="character" w:styleId="FootnoteReference">
    <w:name w:val="footnote reference"/>
    <w:basedOn w:val="DefaultParagraphFont"/>
    <w:uiPriority w:val="99"/>
    <w:semiHidden/>
    <w:unhideWhenUsed/>
    <w:rsid w:val="00501600"/>
    <w:rPr>
      <w:vertAlign w:val="superscript"/>
    </w:rPr>
  </w:style>
  <w:style w:type="character" w:styleId="CommentReference">
    <w:name w:val="annotation reference"/>
    <w:basedOn w:val="DefaultParagraphFont"/>
    <w:uiPriority w:val="99"/>
    <w:semiHidden/>
    <w:unhideWhenUsed/>
    <w:rsid w:val="005B58F3"/>
    <w:rPr>
      <w:sz w:val="16"/>
      <w:szCs w:val="16"/>
    </w:rPr>
  </w:style>
  <w:style w:type="paragraph" w:styleId="CommentText">
    <w:name w:val="annotation text"/>
    <w:basedOn w:val="Normal"/>
    <w:link w:val="CommentTextChar"/>
    <w:uiPriority w:val="99"/>
    <w:unhideWhenUsed/>
    <w:rsid w:val="005B58F3"/>
    <w:pPr>
      <w:spacing w:line="240" w:lineRule="auto"/>
    </w:pPr>
    <w:rPr>
      <w:sz w:val="20"/>
      <w:szCs w:val="20"/>
    </w:rPr>
  </w:style>
  <w:style w:type="character" w:customStyle="1" w:styleId="CommentTextChar">
    <w:name w:val="Comment Text Char"/>
    <w:basedOn w:val="DefaultParagraphFont"/>
    <w:link w:val="CommentText"/>
    <w:uiPriority w:val="99"/>
    <w:rsid w:val="005B58F3"/>
    <w:rPr>
      <w:sz w:val="20"/>
      <w:szCs w:val="20"/>
    </w:rPr>
  </w:style>
  <w:style w:type="paragraph" w:styleId="CommentSubject">
    <w:name w:val="annotation subject"/>
    <w:basedOn w:val="CommentText"/>
    <w:next w:val="CommentText"/>
    <w:link w:val="CommentSubjectChar"/>
    <w:uiPriority w:val="99"/>
    <w:semiHidden/>
    <w:unhideWhenUsed/>
    <w:rsid w:val="005B58F3"/>
    <w:rPr>
      <w:b/>
      <w:bCs/>
    </w:rPr>
  </w:style>
  <w:style w:type="character" w:customStyle="1" w:styleId="CommentSubjectChar">
    <w:name w:val="Comment Subject Char"/>
    <w:basedOn w:val="CommentTextChar"/>
    <w:link w:val="CommentSubject"/>
    <w:uiPriority w:val="99"/>
    <w:semiHidden/>
    <w:rsid w:val="005B58F3"/>
    <w:rPr>
      <w:b/>
      <w:bCs/>
      <w:sz w:val="20"/>
      <w:szCs w:val="20"/>
    </w:rPr>
  </w:style>
  <w:style w:type="paragraph" w:styleId="BalloonText">
    <w:name w:val="Balloon Text"/>
    <w:basedOn w:val="Normal"/>
    <w:link w:val="BalloonTextChar"/>
    <w:uiPriority w:val="99"/>
    <w:semiHidden/>
    <w:unhideWhenUsed/>
    <w:rsid w:val="005B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F3"/>
    <w:rPr>
      <w:rFonts w:ascii="Tahoma" w:hAnsi="Tahoma" w:cs="Tahoma"/>
      <w:sz w:val="16"/>
      <w:szCs w:val="16"/>
    </w:rPr>
  </w:style>
  <w:style w:type="paragraph" w:styleId="Footer">
    <w:name w:val="footer"/>
    <w:basedOn w:val="Normal"/>
    <w:link w:val="FooterChar"/>
    <w:uiPriority w:val="99"/>
    <w:unhideWhenUsed/>
    <w:rsid w:val="009B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83"/>
  </w:style>
  <w:style w:type="table" w:styleId="TableGrid">
    <w:name w:val="Table Grid"/>
    <w:basedOn w:val="TableNormal"/>
    <w:uiPriority w:val="59"/>
    <w:unhideWhenUsed/>
    <w:rsid w:val="002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14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CE3"/>
    <w:pPr>
      <w:ind w:left="720"/>
      <w:contextualSpacing/>
    </w:pPr>
  </w:style>
  <w:style w:type="character" w:styleId="Hyperlink">
    <w:name w:val="Hyperlink"/>
    <w:basedOn w:val="DefaultParagraphFont"/>
    <w:uiPriority w:val="99"/>
    <w:unhideWhenUsed/>
    <w:rsid w:val="005E0CE3"/>
    <w:rPr>
      <w:color w:val="0000FF" w:themeColor="hyperlink"/>
      <w:u w:val="single"/>
    </w:rPr>
  </w:style>
  <w:style w:type="paragraph" w:styleId="BodyText">
    <w:name w:val="Body Text"/>
    <w:basedOn w:val="Normal"/>
    <w:link w:val="BodyTextChar"/>
    <w:uiPriority w:val="1"/>
    <w:qFormat/>
    <w:rsid w:val="00501600"/>
    <w:pPr>
      <w:widowControl w:val="0"/>
      <w:autoSpaceDE w:val="0"/>
      <w:autoSpaceDN w:val="0"/>
      <w:spacing w:after="0" w:line="240" w:lineRule="auto"/>
    </w:pPr>
    <w:rPr>
      <w:rFonts w:ascii="PMingLiU" w:eastAsia="PMingLiU" w:hAnsi="PMingLiU" w:cs="PMingLiU"/>
      <w:sz w:val="17"/>
      <w:szCs w:val="17"/>
    </w:rPr>
  </w:style>
  <w:style w:type="character" w:customStyle="1" w:styleId="BodyTextChar">
    <w:name w:val="Body Text Char"/>
    <w:basedOn w:val="DefaultParagraphFont"/>
    <w:link w:val="BodyText"/>
    <w:uiPriority w:val="1"/>
    <w:rsid w:val="00501600"/>
    <w:rPr>
      <w:rFonts w:ascii="PMingLiU" w:eastAsia="PMingLiU" w:hAnsi="PMingLiU" w:cs="PMingLiU"/>
      <w:sz w:val="17"/>
      <w:szCs w:val="17"/>
    </w:rPr>
  </w:style>
  <w:style w:type="paragraph" w:styleId="Header">
    <w:name w:val="header"/>
    <w:basedOn w:val="Normal"/>
    <w:link w:val="HeaderChar"/>
    <w:uiPriority w:val="99"/>
    <w:unhideWhenUsed/>
    <w:rsid w:val="00501600"/>
    <w:pPr>
      <w:widowControl w:val="0"/>
      <w:tabs>
        <w:tab w:val="center" w:pos="4536"/>
        <w:tab w:val="right" w:pos="9072"/>
      </w:tabs>
      <w:autoSpaceDE w:val="0"/>
      <w:autoSpaceDN w:val="0"/>
      <w:spacing w:after="0" w:line="240" w:lineRule="auto"/>
    </w:pPr>
    <w:rPr>
      <w:rFonts w:ascii="PMingLiU" w:eastAsia="PMingLiU" w:hAnsi="PMingLiU" w:cs="PMingLiU"/>
    </w:rPr>
  </w:style>
  <w:style w:type="character" w:customStyle="1" w:styleId="HeaderChar">
    <w:name w:val="Header Char"/>
    <w:basedOn w:val="DefaultParagraphFont"/>
    <w:link w:val="Header"/>
    <w:uiPriority w:val="99"/>
    <w:rsid w:val="00501600"/>
    <w:rPr>
      <w:rFonts w:ascii="PMingLiU" w:eastAsia="PMingLiU" w:hAnsi="PMingLiU" w:cs="PMingLiU"/>
    </w:rPr>
  </w:style>
  <w:style w:type="character" w:customStyle="1" w:styleId="ListParagraphChar">
    <w:name w:val="List Paragraph Char"/>
    <w:basedOn w:val="DefaultParagraphFont"/>
    <w:link w:val="ListParagraph"/>
    <w:uiPriority w:val="34"/>
    <w:rsid w:val="00501600"/>
  </w:style>
  <w:style w:type="paragraph" w:styleId="FootnoteText">
    <w:name w:val="footnote text"/>
    <w:basedOn w:val="Normal"/>
    <w:link w:val="FootnoteTextChar"/>
    <w:uiPriority w:val="99"/>
    <w:semiHidden/>
    <w:unhideWhenUsed/>
    <w:rsid w:val="00501600"/>
    <w:pPr>
      <w:widowControl w:val="0"/>
      <w:autoSpaceDE w:val="0"/>
      <w:autoSpaceDN w:val="0"/>
      <w:spacing w:after="0" w:line="240" w:lineRule="auto"/>
    </w:pPr>
    <w:rPr>
      <w:rFonts w:ascii="PMingLiU" w:eastAsia="PMingLiU" w:hAnsi="PMingLiU" w:cs="PMingLiU"/>
      <w:sz w:val="20"/>
      <w:szCs w:val="20"/>
    </w:rPr>
  </w:style>
  <w:style w:type="character" w:customStyle="1" w:styleId="FootnoteTextChar">
    <w:name w:val="Footnote Text Char"/>
    <w:basedOn w:val="DefaultParagraphFont"/>
    <w:link w:val="FootnoteText"/>
    <w:uiPriority w:val="99"/>
    <w:semiHidden/>
    <w:rsid w:val="00501600"/>
    <w:rPr>
      <w:rFonts w:ascii="PMingLiU" w:eastAsia="PMingLiU" w:hAnsi="PMingLiU" w:cs="PMingLiU"/>
      <w:sz w:val="20"/>
      <w:szCs w:val="20"/>
    </w:rPr>
  </w:style>
  <w:style w:type="character" w:styleId="FootnoteReference">
    <w:name w:val="footnote reference"/>
    <w:basedOn w:val="DefaultParagraphFont"/>
    <w:uiPriority w:val="99"/>
    <w:semiHidden/>
    <w:unhideWhenUsed/>
    <w:rsid w:val="00501600"/>
    <w:rPr>
      <w:vertAlign w:val="superscript"/>
    </w:rPr>
  </w:style>
  <w:style w:type="character" w:styleId="CommentReference">
    <w:name w:val="annotation reference"/>
    <w:basedOn w:val="DefaultParagraphFont"/>
    <w:uiPriority w:val="99"/>
    <w:semiHidden/>
    <w:unhideWhenUsed/>
    <w:rsid w:val="005B58F3"/>
    <w:rPr>
      <w:sz w:val="16"/>
      <w:szCs w:val="16"/>
    </w:rPr>
  </w:style>
  <w:style w:type="paragraph" w:styleId="CommentText">
    <w:name w:val="annotation text"/>
    <w:basedOn w:val="Normal"/>
    <w:link w:val="CommentTextChar"/>
    <w:uiPriority w:val="99"/>
    <w:unhideWhenUsed/>
    <w:rsid w:val="005B58F3"/>
    <w:pPr>
      <w:spacing w:line="240" w:lineRule="auto"/>
    </w:pPr>
    <w:rPr>
      <w:sz w:val="20"/>
      <w:szCs w:val="20"/>
    </w:rPr>
  </w:style>
  <w:style w:type="character" w:customStyle="1" w:styleId="CommentTextChar">
    <w:name w:val="Comment Text Char"/>
    <w:basedOn w:val="DefaultParagraphFont"/>
    <w:link w:val="CommentText"/>
    <w:uiPriority w:val="99"/>
    <w:rsid w:val="005B58F3"/>
    <w:rPr>
      <w:sz w:val="20"/>
      <w:szCs w:val="20"/>
    </w:rPr>
  </w:style>
  <w:style w:type="paragraph" w:styleId="CommentSubject">
    <w:name w:val="annotation subject"/>
    <w:basedOn w:val="CommentText"/>
    <w:next w:val="CommentText"/>
    <w:link w:val="CommentSubjectChar"/>
    <w:uiPriority w:val="99"/>
    <w:semiHidden/>
    <w:unhideWhenUsed/>
    <w:rsid w:val="005B58F3"/>
    <w:rPr>
      <w:b/>
      <w:bCs/>
    </w:rPr>
  </w:style>
  <w:style w:type="character" w:customStyle="1" w:styleId="CommentSubjectChar">
    <w:name w:val="Comment Subject Char"/>
    <w:basedOn w:val="CommentTextChar"/>
    <w:link w:val="CommentSubject"/>
    <w:uiPriority w:val="99"/>
    <w:semiHidden/>
    <w:rsid w:val="005B58F3"/>
    <w:rPr>
      <w:b/>
      <w:bCs/>
      <w:sz w:val="20"/>
      <w:szCs w:val="20"/>
    </w:rPr>
  </w:style>
  <w:style w:type="paragraph" w:styleId="BalloonText">
    <w:name w:val="Balloon Text"/>
    <w:basedOn w:val="Normal"/>
    <w:link w:val="BalloonTextChar"/>
    <w:uiPriority w:val="99"/>
    <w:semiHidden/>
    <w:unhideWhenUsed/>
    <w:rsid w:val="005B5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F3"/>
    <w:rPr>
      <w:rFonts w:ascii="Tahoma" w:hAnsi="Tahoma" w:cs="Tahoma"/>
      <w:sz w:val="16"/>
      <w:szCs w:val="16"/>
    </w:rPr>
  </w:style>
  <w:style w:type="paragraph" w:styleId="Footer">
    <w:name w:val="footer"/>
    <w:basedOn w:val="Normal"/>
    <w:link w:val="FooterChar"/>
    <w:uiPriority w:val="99"/>
    <w:unhideWhenUsed/>
    <w:rsid w:val="009B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83"/>
  </w:style>
  <w:style w:type="table" w:styleId="TableGrid">
    <w:name w:val="Table Grid"/>
    <w:basedOn w:val="TableNormal"/>
    <w:uiPriority w:val="59"/>
    <w:unhideWhenUsed/>
    <w:rsid w:val="002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1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5737">
      <w:bodyDiv w:val="1"/>
      <w:marLeft w:val="0"/>
      <w:marRight w:val="0"/>
      <w:marTop w:val="0"/>
      <w:marBottom w:val="0"/>
      <w:divBdr>
        <w:top w:val="none" w:sz="0" w:space="0" w:color="auto"/>
        <w:left w:val="none" w:sz="0" w:space="0" w:color="auto"/>
        <w:bottom w:val="none" w:sz="0" w:space="0" w:color="auto"/>
        <w:right w:val="none" w:sz="0" w:space="0" w:color="auto"/>
      </w:divBdr>
      <w:divsChild>
        <w:div w:id="1462502397">
          <w:marLeft w:val="0"/>
          <w:marRight w:val="0"/>
          <w:marTop w:val="0"/>
          <w:marBottom w:val="0"/>
          <w:divBdr>
            <w:top w:val="none" w:sz="0" w:space="0" w:color="auto"/>
            <w:left w:val="none" w:sz="0" w:space="0" w:color="auto"/>
            <w:bottom w:val="none" w:sz="0" w:space="0" w:color="auto"/>
            <w:right w:val="none" w:sz="0" w:space="0" w:color="auto"/>
          </w:divBdr>
        </w:div>
        <w:div w:id="96217162">
          <w:marLeft w:val="0"/>
          <w:marRight w:val="0"/>
          <w:marTop w:val="0"/>
          <w:marBottom w:val="0"/>
          <w:divBdr>
            <w:top w:val="none" w:sz="0" w:space="0" w:color="auto"/>
            <w:left w:val="none" w:sz="0" w:space="0" w:color="auto"/>
            <w:bottom w:val="none" w:sz="0" w:space="0" w:color="auto"/>
            <w:right w:val="none" w:sz="0" w:space="0" w:color="auto"/>
          </w:divBdr>
        </w:div>
        <w:div w:id="768617948">
          <w:marLeft w:val="0"/>
          <w:marRight w:val="0"/>
          <w:marTop w:val="0"/>
          <w:marBottom w:val="0"/>
          <w:divBdr>
            <w:top w:val="none" w:sz="0" w:space="0" w:color="auto"/>
            <w:left w:val="none" w:sz="0" w:space="0" w:color="auto"/>
            <w:bottom w:val="none" w:sz="0" w:space="0" w:color="auto"/>
            <w:right w:val="none" w:sz="0" w:space="0" w:color="auto"/>
          </w:divBdr>
        </w:div>
        <w:div w:id="1399859190">
          <w:marLeft w:val="0"/>
          <w:marRight w:val="0"/>
          <w:marTop w:val="0"/>
          <w:marBottom w:val="0"/>
          <w:divBdr>
            <w:top w:val="none" w:sz="0" w:space="0" w:color="auto"/>
            <w:left w:val="none" w:sz="0" w:space="0" w:color="auto"/>
            <w:bottom w:val="none" w:sz="0" w:space="0" w:color="auto"/>
            <w:right w:val="none" w:sz="0" w:space="0" w:color="auto"/>
          </w:divBdr>
        </w:div>
        <w:div w:id="368799282">
          <w:marLeft w:val="0"/>
          <w:marRight w:val="0"/>
          <w:marTop w:val="0"/>
          <w:marBottom w:val="0"/>
          <w:divBdr>
            <w:top w:val="none" w:sz="0" w:space="0" w:color="auto"/>
            <w:left w:val="none" w:sz="0" w:space="0" w:color="auto"/>
            <w:bottom w:val="none" w:sz="0" w:space="0" w:color="auto"/>
            <w:right w:val="none" w:sz="0" w:space="0" w:color="auto"/>
          </w:divBdr>
        </w:div>
        <w:div w:id="395978875">
          <w:marLeft w:val="0"/>
          <w:marRight w:val="0"/>
          <w:marTop w:val="0"/>
          <w:marBottom w:val="0"/>
          <w:divBdr>
            <w:top w:val="none" w:sz="0" w:space="0" w:color="auto"/>
            <w:left w:val="none" w:sz="0" w:space="0" w:color="auto"/>
            <w:bottom w:val="none" w:sz="0" w:space="0" w:color="auto"/>
            <w:right w:val="none" w:sz="0" w:space="0" w:color="auto"/>
          </w:divBdr>
        </w:div>
        <w:div w:id="2061702874">
          <w:marLeft w:val="0"/>
          <w:marRight w:val="0"/>
          <w:marTop w:val="0"/>
          <w:marBottom w:val="0"/>
          <w:divBdr>
            <w:top w:val="none" w:sz="0" w:space="0" w:color="auto"/>
            <w:left w:val="none" w:sz="0" w:space="0" w:color="auto"/>
            <w:bottom w:val="none" w:sz="0" w:space="0" w:color="auto"/>
            <w:right w:val="none" w:sz="0" w:space="0" w:color="auto"/>
          </w:divBdr>
        </w:div>
      </w:divsChild>
    </w:div>
    <w:div w:id="1828323641">
      <w:bodyDiv w:val="1"/>
      <w:marLeft w:val="0"/>
      <w:marRight w:val="0"/>
      <w:marTop w:val="0"/>
      <w:marBottom w:val="0"/>
      <w:divBdr>
        <w:top w:val="none" w:sz="0" w:space="0" w:color="auto"/>
        <w:left w:val="none" w:sz="0" w:space="0" w:color="auto"/>
        <w:bottom w:val="none" w:sz="0" w:space="0" w:color="auto"/>
        <w:right w:val="none" w:sz="0" w:space="0" w:color="auto"/>
      </w:divBdr>
      <w:divsChild>
        <w:div w:id="1573850289">
          <w:marLeft w:val="0"/>
          <w:marRight w:val="0"/>
          <w:marTop w:val="0"/>
          <w:marBottom w:val="0"/>
          <w:divBdr>
            <w:top w:val="none" w:sz="0" w:space="0" w:color="auto"/>
            <w:left w:val="none" w:sz="0" w:space="0" w:color="auto"/>
            <w:bottom w:val="none" w:sz="0" w:space="0" w:color="auto"/>
            <w:right w:val="none" w:sz="0" w:space="0" w:color="auto"/>
          </w:divBdr>
        </w:div>
        <w:div w:id="1574700334">
          <w:marLeft w:val="0"/>
          <w:marRight w:val="0"/>
          <w:marTop w:val="0"/>
          <w:marBottom w:val="0"/>
          <w:divBdr>
            <w:top w:val="none" w:sz="0" w:space="0" w:color="auto"/>
            <w:left w:val="none" w:sz="0" w:space="0" w:color="auto"/>
            <w:bottom w:val="none" w:sz="0" w:space="0" w:color="auto"/>
            <w:right w:val="none" w:sz="0" w:space="0" w:color="auto"/>
          </w:divBdr>
        </w:div>
        <w:div w:id="941915242">
          <w:marLeft w:val="0"/>
          <w:marRight w:val="0"/>
          <w:marTop w:val="0"/>
          <w:marBottom w:val="0"/>
          <w:divBdr>
            <w:top w:val="none" w:sz="0" w:space="0" w:color="auto"/>
            <w:left w:val="none" w:sz="0" w:space="0" w:color="auto"/>
            <w:bottom w:val="none" w:sz="0" w:space="0" w:color="auto"/>
            <w:right w:val="none" w:sz="0" w:space="0" w:color="auto"/>
          </w:divBdr>
        </w:div>
        <w:div w:id="355889932">
          <w:marLeft w:val="0"/>
          <w:marRight w:val="0"/>
          <w:marTop w:val="0"/>
          <w:marBottom w:val="0"/>
          <w:divBdr>
            <w:top w:val="none" w:sz="0" w:space="0" w:color="auto"/>
            <w:left w:val="none" w:sz="0" w:space="0" w:color="auto"/>
            <w:bottom w:val="none" w:sz="0" w:space="0" w:color="auto"/>
            <w:right w:val="none" w:sz="0" w:space="0" w:color="auto"/>
          </w:divBdr>
        </w:div>
        <w:div w:id="1217544564">
          <w:marLeft w:val="0"/>
          <w:marRight w:val="0"/>
          <w:marTop w:val="0"/>
          <w:marBottom w:val="0"/>
          <w:divBdr>
            <w:top w:val="none" w:sz="0" w:space="0" w:color="auto"/>
            <w:left w:val="none" w:sz="0" w:space="0" w:color="auto"/>
            <w:bottom w:val="none" w:sz="0" w:space="0" w:color="auto"/>
            <w:right w:val="none" w:sz="0" w:space="0" w:color="auto"/>
          </w:divBdr>
        </w:div>
        <w:div w:id="552740200">
          <w:marLeft w:val="0"/>
          <w:marRight w:val="0"/>
          <w:marTop w:val="0"/>
          <w:marBottom w:val="0"/>
          <w:divBdr>
            <w:top w:val="none" w:sz="0" w:space="0" w:color="auto"/>
            <w:left w:val="none" w:sz="0" w:space="0" w:color="auto"/>
            <w:bottom w:val="none" w:sz="0" w:space="0" w:color="auto"/>
            <w:right w:val="none" w:sz="0" w:space="0" w:color="auto"/>
          </w:divBdr>
        </w:div>
        <w:div w:id="736510097">
          <w:marLeft w:val="0"/>
          <w:marRight w:val="0"/>
          <w:marTop w:val="0"/>
          <w:marBottom w:val="0"/>
          <w:divBdr>
            <w:top w:val="none" w:sz="0" w:space="0" w:color="auto"/>
            <w:left w:val="none" w:sz="0" w:space="0" w:color="auto"/>
            <w:bottom w:val="none" w:sz="0" w:space="0" w:color="auto"/>
            <w:right w:val="none" w:sz="0" w:space="0" w:color="auto"/>
          </w:divBdr>
        </w:div>
        <w:div w:id="637880380">
          <w:marLeft w:val="0"/>
          <w:marRight w:val="0"/>
          <w:marTop w:val="0"/>
          <w:marBottom w:val="0"/>
          <w:divBdr>
            <w:top w:val="none" w:sz="0" w:space="0" w:color="auto"/>
            <w:left w:val="none" w:sz="0" w:space="0" w:color="auto"/>
            <w:bottom w:val="none" w:sz="0" w:space="0" w:color="auto"/>
            <w:right w:val="none" w:sz="0" w:space="0" w:color="auto"/>
          </w:divBdr>
        </w:div>
        <w:div w:id="1216771446">
          <w:marLeft w:val="0"/>
          <w:marRight w:val="0"/>
          <w:marTop w:val="0"/>
          <w:marBottom w:val="0"/>
          <w:divBdr>
            <w:top w:val="none" w:sz="0" w:space="0" w:color="auto"/>
            <w:left w:val="none" w:sz="0" w:space="0" w:color="auto"/>
            <w:bottom w:val="none" w:sz="0" w:space="0" w:color="auto"/>
            <w:right w:val="none" w:sz="0" w:space="0" w:color="auto"/>
          </w:divBdr>
        </w:div>
        <w:div w:id="1623340787">
          <w:marLeft w:val="0"/>
          <w:marRight w:val="0"/>
          <w:marTop w:val="0"/>
          <w:marBottom w:val="0"/>
          <w:divBdr>
            <w:top w:val="none" w:sz="0" w:space="0" w:color="auto"/>
            <w:left w:val="none" w:sz="0" w:space="0" w:color="auto"/>
            <w:bottom w:val="none" w:sz="0" w:space="0" w:color="auto"/>
            <w:right w:val="none" w:sz="0" w:space="0" w:color="auto"/>
          </w:divBdr>
        </w:div>
        <w:div w:id="807867980">
          <w:marLeft w:val="0"/>
          <w:marRight w:val="0"/>
          <w:marTop w:val="0"/>
          <w:marBottom w:val="0"/>
          <w:divBdr>
            <w:top w:val="none" w:sz="0" w:space="0" w:color="auto"/>
            <w:left w:val="none" w:sz="0" w:space="0" w:color="auto"/>
            <w:bottom w:val="none" w:sz="0" w:space="0" w:color="auto"/>
            <w:right w:val="none" w:sz="0" w:space="0" w:color="auto"/>
          </w:divBdr>
        </w:div>
        <w:div w:id="1606961273">
          <w:marLeft w:val="0"/>
          <w:marRight w:val="0"/>
          <w:marTop w:val="0"/>
          <w:marBottom w:val="0"/>
          <w:divBdr>
            <w:top w:val="none" w:sz="0" w:space="0" w:color="auto"/>
            <w:left w:val="none" w:sz="0" w:space="0" w:color="auto"/>
            <w:bottom w:val="none" w:sz="0" w:space="0" w:color="auto"/>
            <w:right w:val="none" w:sz="0" w:space="0" w:color="auto"/>
          </w:divBdr>
        </w:div>
        <w:div w:id="1554462290">
          <w:marLeft w:val="0"/>
          <w:marRight w:val="0"/>
          <w:marTop w:val="0"/>
          <w:marBottom w:val="0"/>
          <w:divBdr>
            <w:top w:val="none" w:sz="0" w:space="0" w:color="auto"/>
            <w:left w:val="none" w:sz="0" w:space="0" w:color="auto"/>
            <w:bottom w:val="none" w:sz="0" w:space="0" w:color="auto"/>
            <w:right w:val="none" w:sz="0" w:space="0" w:color="auto"/>
          </w:divBdr>
        </w:div>
        <w:div w:id="1915238416">
          <w:marLeft w:val="0"/>
          <w:marRight w:val="0"/>
          <w:marTop w:val="0"/>
          <w:marBottom w:val="0"/>
          <w:divBdr>
            <w:top w:val="none" w:sz="0" w:space="0" w:color="auto"/>
            <w:left w:val="none" w:sz="0" w:space="0" w:color="auto"/>
            <w:bottom w:val="none" w:sz="0" w:space="0" w:color="auto"/>
            <w:right w:val="none" w:sz="0" w:space="0" w:color="auto"/>
          </w:divBdr>
        </w:div>
        <w:div w:id="1235166656">
          <w:marLeft w:val="0"/>
          <w:marRight w:val="0"/>
          <w:marTop w:val="0"/>
          <w:marBottom w:val="0"/>
          <w:divBdr>
            <w:top w:val="none" w:sz="0" w:space="0" w:color="auto"/>
            <w:left w:val="none" w:sz="0" w:space="0" w:color="auto"/>
            <w:bottom w:val="none" w:sz="0" w:space="0" w:color="auto"/>
            <w:right w:val="none" w:sz="0" w:space="0" w:color="auto"/>
          </w:divBdr>
        </w:div>
        <w:div w:id="1018316311">
          <w:marLeft w:val="0"/>
          <w:marRight w:val="0"/>
          <w:marTop w:val="0"/>
          <w:marBottom w:val="0"/>
          <w:divBdr>
            <w:top w:val="none" w:sz="0" w:space="0" w:color="auto"/>
            <w:left w:val="none" w:sz="0" w:space="0" w:color="auto"/>
            <w:bottom w:val="none" w:sz="0" w:space="0" w:color="auto"/>
            <w:right w:val="none" w:sz="0" w:space="0" w:color="auto"/>
          </w:divBdr>
        </w:div>
        <w:div w:id="2005467975">
          <w:marLeft w:val="0"/>
          <w:marRight w:val="0"/>
          <w:marTop w:val="0"/>
          <w:marBottom w:val="0"/>
          <w:divBdr>
            <w:top w:val="none" w:sz="0" w:space="0" w:color="auto"/>
            <w:left w:val="none" w:sz="0" w:space="0" w:color="auto"/>
            <w:bottom w:val="none" w:sz="0" w:space="0" w:color="auto"/>
            <w:right w:val="none" w:sz="0" w:space="0" w:color="auto"/>
          </w:divBdr>
        </w:div>
        <w:div w:id="886141869">
          <w:marLeft w:val="0"/>
          <w:marRight w:val="0"/>
          <w:marTop w:val="0"/>
          <w:marBottom w:val="0"/>
          <w:divBdr>
            <w:top w:val="none" w:sz="0" w:space="0" w:color="auto"/>
            <w:left w:val="none" w:sz="0" w:space="0" w:color="auto"/>
            <w:bottom w:val="none" w:sz="0" w:space="0" w:color="auto"/>
            <w:right w:val="none" w:sz="0" w:space="0" w:color="auto"/>
          </w:divBdr>
        </w:div>
        <w:div w:id="1865556049">
          <w:marLeft w:val="0"/>
          <w:marRight w:val="0"/>
          <w:marTop w:val="0"/>
          <w:marBottom w:val="0"/>
          <w:divBdr>
            <w:top w:val="none" w:sz="0" w:space="0" w:color="auto"/>
            <w:left w:val="none" w:sz="0" w:space="0" w:color="auto"/>
            <w:bottom w:val="none" w:sz="0" w:space="0" w:color="auto"/>
            <w:right w:val="none" w:sz="0" w:space="0" w:color="auto"/>
          </w:divBdr>
        </w:div>
        <w:div w:id="1336955531">
          <w:marLeft w:val="0"/>
          <w:marRight w:val="0"/>
          <w:marTop w:val="0"/>
          <w:marBottom w:val="0"/>
          <w:divBdr>
            <w:top w:val="none" w:sz="0" w:space="0" w:color="auto"/>
            <w:left w:val="none" w:sz="0" w:space="0" w:color="auto"/>
            <w:bottom w:val="none" w:sz="0" w:space="0" w:color="auto"/>
            <w:right w:val="none" w:sz="0" w:space="0" w:color="auto"/>
          </w:divBdr>
        </w:div>
        <w:div w:id="102112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sinessRelations@mayo.edu" TargetMode="External"/><Relationship Id="rId4" Type="http://schemas.microsoft.com/office/2007/relationships/stylesWithEffects" Target="stylesWithEffects.xml"/><Relationship Id="rId9" Type="http://schemas.openxmlformats.org/officeDocument/2006/relationships/hyperlink" Target="mailto:RSTCLIRSUPPORT@may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A8E6-C5A2-4196-8F75-DC848A02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Bobby J.</dc:creator>
  <cp:lastModifiedBy>Miller, Bobby J.</cp:lastModifiedBy>
  <cp:revision>18</cp:revision>
  <dcterms:created xsi:type="dcterms:W3CDTF">2018-09-10T15:08:00Z</dcterms:created>
  <dcterms:modified xsi:type="dcterms:W3CDTF">2020-01-07T20:35:00Z</dcterms:modified>
</cp:coreProperties>
</file>